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楷体_GB2312"/>
          <w:color w:val="auto"/>
          <w:sz w:val="52"/>
          <w:u w:val="single"/>
        </w:rPr>
      </w:pPr>
    </w:p>
    <w:p>
      <w:pPr>
        <w:pStyle w:val="18"/>
        <w:spacing w:line="360" w:lineRule="auto"/>
        <w:ind w:firstLine="684" w:firstLineChars="95"/>
        <w:jc w:val="center"/>
        <w:rPr>
          <w:rFonts w:ascii="黑体" w:eastAsia="黑体"/>
          <w:color w:val="auto"/>
          <w:sz w:val="72"/>
        </w:rPr>
      </w:pPr>
      <w:r>
        <w:rPr>
          <w:rFonts w:hint="eastAsia" w:ascii="黑体" w:eastAsia="黑体"/>
          <w:color w:val="auto"/>
          <w:sz w:val="72"/>
        </w:rPr>
        <w:t>技 术 要 求</w:t>
      </w:r>
    </w:p>
    <w:p>
      <w:pPr>
        <w:jc w:val="center"/>
        <w:rPr>
          <w:rFonts w:ascii="楷体_GB2312"/>
          <w:color w:val="auto"/>
          <w:sz w:val="52"/>
        </w:rPr>
      </w:pPr>
    </w:p>
    <w:p>
      <w:pPr>
        <w:jc w:val="center"/>
        <w:rPr>
          <w:rFonts w:ascii="楷体_GB2312"/>
          <w:color w:val="auto"/>
          <w:sz w:val="52"/>
        </w:rPr>
      </w:pPr>
    </w:p>
    <w:p>
      <w:pPr>
        <w:jc w:val="center"/>
        <w:outlineLvl w:val="0"/>
        <w:rPr>
          <w:rFonts w:ascii="楷体_GB2312"/>
          <w:b/>
          <w:bCs/>
          <w:color w:val="auto"/>
          <w:w w:val="90"/>
          <w:sz w:val="36"/>
          <w:szCs w:val="36"/>
          <w:u w:val="single"/>
        </w:rPr>
      </w:pPr>
      <w:r>
        <w:rPr>
          <w:rFonts w:hint="eastAsia" w:ascii="华文中宋" w:hAnsi="华文中宋" w:eastAsia="华文中宋" w:cs="华文中宋"/>
          <w:color w:val="auto"/>
          <w:sz w:val="36"/>
          <w:szCs w:val="36"/>
          <w:lang w:eastAsia="zh-CN"/>
        </w:rPr>
        <w:t>名称：关键扭矩追溯项目</w:t>
      </w:r>
      <w:r>
        <w:rPr>
          <w:rFonts w:hint="eastAsia" w:ascii="华文中宋" w:hAnsi="华文中宋" w:eastAsia="华文中宋" w:cs="华文中宋"/>
          <w:color w:val="auto"/>
          <w:sz w:val="36"/>
          <w:szCs w:val="36"/>
        </w:rPr>
        <w:t>技术要求</w:t>
      </w:r>
    </w:p>
    <w:p>
      <w:pPr>
        <w:pStyle w:val="18"/>
        <w:spacing w:line="360" w:lineRule="auto"/>
        <w:ind w:firstLine="7570" w:firstLineChars="3605"/>
        <w:rPr>
          <w:color w:val="auto"/>
        </w:rPr>
      </w:pPr>
    </w:p>
    <w:p>
      <w:pPr>
        <w:pStyle w:val="18"/>
        <w:spacing w:line="360" w:lineRule="auto"/>
        <w:ind w:firstLine="199" w:firstLineChars="95"/>
        <w:rPr>
          <w:color w:val="auto"/>
        </w:rPr>
      </w:pPr>
    </w:p>
    <w:tbl>
      <w:tblPr>
        <w:tblStyle w:val="16"/>
        <w:tblW w:w="74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079"/>
        <w:gridCol w:w="2184"/>
        <w:gridCol w:w="2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7459" w:type="dxa"/>
            <w:gridSpan w:val="4"/>
            <w:tcBorders>
              <w:top w:val="double" w:color="auto" w:sz="4" w:space="0"/>
              <w:left w:val="double" w:color="auto" w:sz="4" w:space="0"/>
              <w:bottom w:val="double" w:color="auto" w:sz="4" w:space="0"/>
              <w:right w:val="double" w:color="auto" w:sz="4" w:space="0"/>
            </w:tcBorders>
            <w:vAlign w:val="center"/>
          </w:tcPr>
          <w:p>
            <w:pPr>
              <w:jc w:val="center"/>
              <w:rPr>
                <w:rFonts w:ascii="宋体" w:hAnsi="宋体"/>
                <w:color w:val="auto"/>
                <w:sz w:val="24"/>
              </w:rPr>
            </w:pPr>
            <w:r>
              <w:rPr>
                <w:rFonts w:hint="eastAsia" w:ascii="宋体" w:hAnsi="宋体"/>
                <w:color w:val="auto"/>
                <w:sz w:val="24"/>
              </w:rPr>
              <w:t>厦门金龙联合汽车工业有限公司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900" w:type="dxa"/>
            <w:vMerge w:val="restart"/>
            <w:tcBorders>
              <w:top w:val="double" w:color="auto" w:sz="4" w:space="0"/>
              <w:left w:val="double" w:color="auto" w:sz="4" w:space="0"/>
              <w:bottom w:val="doub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规</w:t>
            </w:r>
          </w:p>
          <w:p>
            <w:pPr>
              <w:jc w:val="center"/>
              <w:rPr>
                <w:rFonts w:ascii="宋体" w:hAnsi="宋体"/>
                <w:color w:val="auto"/>
                <w:sz w:val="24"/>
              </w:rPr>
            </w:pPr>
            <w:r>
              <w:rPr>
                <w:rFonts w:hint="eastAsia" w:ascii="宋体" w:hAnsi="宋体"/>
                <w:color w:val="auto"/>
                <w:sz w:val="24"/>
              </w:rPr>
              <w:t>划</w:t>
            </w:r>
          </w:p>
          <w:p>
            <w:pPr>
              <w:jc w:val="center"/>
              <w:rPr>
                <w:rFonts w:ascii="宋体" w:hAnsi="宋体"/>
                <w:color w:val="auto"/>
                <w:sz w:val="24"/>
              </w:rPr>
            </w:pPr>
            <w:r>
              <w:rPr>
                <w:rFonts w:hint="eastAsia" w:ascii="宋体" w:hAnsi="宋体"/>
                <w:color w:val="auto"/>
                <w:sz w:val="24"/>
              </w:rPr>
              <w:t>单</w:t>
            </w:r>
          </w:p>
          <w:p>
            <w:pPr>
              <w:jc w:val="center"/>
              <w:rPr>
                <w:rFonts w:ascii="宋体" w:hAnsi="宋体"/>
                <w:color w:val="auto"/>
                <w:sz w:val="24"/>
              </w:rPr>
            </w:pPr>
            <w:r>
              <w:rPr>
                <w:rFonts w:hint="eastAsia" w:ascii="宋体" w:hAnsi="宋体"/>
                <w:color w:val="auto"/>
                <w:sz w:val="24"/>
              </w:rPr>
              <w:t>位</w:t>
            </w:r>
          </w:p>
        </w:tc>
        <w:tc>
          <w:tcPr>
            <w:tcW w:w="6559" w:type="dxa"/>
            <w:gridSpan w:val="3"/>
            <w:tcBorders>
              <w:top w:val="double" w:color="auto" w:sz="4" w:space="0"/>
              <w:left w:val="single" w:color="auto" w:sz="4" w:space="0"/>
              <w:bottom w:val="single" w:color="auto" w:sz="6" w:space="0"/>
              <w:right w:val="double" w:color="auto" w:sz="4" w:space="0"/>
            </w:tcBorders>
            <w:vAlign w:val="center"/>
          </w:tcPr>
          <w:p>
            <w:pPr>
              <w:jc w:val="center"/>
              <w:rPr>
                <w:rFonts w:hint="eastAsia" w:ascii="宋体" w:hAnsi="宋体" w:eastAsiaTheme="minorEastAsia"/>
                <w:color w:val="auto"/>
                <w:sz w:val="24"/>
                <w:lang w:eastAsia="zh-CN"/>
              </w:rPr>
            </w:pPr>
            <w:r>
              <w:rPr>
                <w:rFonts w:hint="eastAsia" w:ascii="宋体" w:hAnsi="宋体"/>
                <w:color w:val="auto"/>
                <w:sz w:val="24"/>
                <w:lang w:eastAsia="zh-CN"/>
              </w:rPr>
              <w:t>工艺设备部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3" w:hRule="atLeast"/>
          <w:jc w:val="center"/>
        </w:trPr>
        <w:tc>
          <w:tcPr>
            <w:tcW w:w="900" w:type="dxa"/>
            <w:vMerge w:val="continue"/>
            <w:tcBorders>
              <w:top w:val="double" w:color="auto" w:sz="4" w:space="0"/>
              <w:left w:val="double" w:color="auto" w:sz="4" w:space="0"/>
              <w:bottom w:val="double" w:color="auto" w:sz="4" w:space="0"/>
              <w:right w:val="single" w:color="auto" w:sz="4" w:space="0"/>
            </w:tcBorders>
            <w:vAlign w:val="center"/>
          </w:tcPr>
          <w:p>
            <w:pPr>
              <w:ind w:right="439" w:rightChars="209"/>
              <w:jc w:val="center"/>
              <w:rPr>
                <w:rFonts w:ascii="宋体" w:hAnsi="宋体"/>
                <w:color w:val="auto"/>
                <w:sz w:val="24"/>
              </w:rPr>
            </w:pPr>
          </w:p>
        </w:tc>
        <w:tc>
          <w:tcPr>
            <w:tcW w:w="2079" w:type="dxa"/>
            <w:tcBorders>
              <w:top w:val="single" w:color="auto" w:sz="6" w:space="0"/>
              <w:left w:val="single" w:color="auto" w:sz="4" w:space="0"/>
              <w:bottom w:val="single" w:color="auto" w:sz="6" w:space="0"/>
            </w:tcBorders>
            <w:vAlign w:val="center"/>
          </w:tcPr>
          <w:p>
            <w:pPr>
              <w:jc w:val="center"/>
              <w:rPr>
                <w:rFonts w:ascii="宋体" w:hAnsi="宋体"/>
                <w:color w:val="auto"/>
                <w:sz w:val="24"/>
              </w:rPr>
            </w:pPr>
            <w:r>
              <w:rPr>
                <w:rFonts w:hint="eastAsia" w:ascii="宋体" w:hAnsi="宋体"/>
                <w:color w:val="auto"/>
                <w:sz w:val="24"/>
              </w:rPr>
              <w:t>批 准</w:t>
            </w:r>
          </w:p>
        </w:tc>
        <w:tc>
          <w:tcPr>
            <w:tcW w:w="2184" w:type="dxa"/>
            <w:tcBorders>
              <w:top w:val="single" w:color="auto" w:sz="6" w:space="0"/>
              <w:bottom w:val="single" w:color="auto" w:sz="6" w:space="0"/>
              <w:right w:val="single" w:color="auto" w:sz="4" w:space="0"/>
            </w:tcBorders>
            <w:vAlign w:val="center"/>
          </w:tcPr>
          <w:p>
            <w:pPr>
              <w:jc w:val="center"/>
              <w:rPr>
                <w:rFonts w:ascii="宋体" w:hAnsi="宋体"/>
                <w:color w:val="auto"/>
                <w:sz w:val="24"/>
              </w:rPr>
            </w:pPr>
            <w:r>
              <w:rPr>
                <w:rFonts w:hint="eastAsia" w:ascii="宋体" w:hAnsi="宋体"/>
                <w:color w:val="auto"/>
                <w:sz w:val="24"/>
              </w:rPr>
              <w:t>审 核</w:t>
            </w:r>
          </w:p>
        </w:tc>
        <w:tc>
          <w:tcPr>
            <w:tcW w:w="2296" w:type="dxa"/>
            <w:tcBorders>
              <w:top w:val="single" w:color="auto" w:sz="6" w:space="0"/>
              <w:left w:val="single" w:color="auto" w:sz="4" w:space="0"/>
              <w:bottom w:val="single" w:color="auto" w:sz="6" w:space="0"/>
              <w:right w:val="double" w:color="auto" w:sz="4" w:space="0"/>
            </w:tcBorders>
            <w:vAlign w:val="center"/>
          </w:tcPr>
          <w:p>
            <w:pPr>
              <w:jc w:val="center"/>
              <w:rPr>
                <w:rFonts w:ascii="宋体" w:hAnsi="宋体"/>
                <w:color w:val="auto"/>
                <w:sz w:val="24"/>
              </w:rPr>
            </w:pPr>
            <w:r>
              <w:rPr>
                <w:rFonts w:hint="eastAsia" w:ascii="宋体" w:hAnsi="宋体"/>
                <w:color w:val="auto"/>
                <w:sz w:val="24"/>
              </w:rPr>
              <w:t>编 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2" w:hRule="atLeast"/>
          <w:jc w:val="center"/>
        </w:trPr>
        <w:tc>
          <w:tcPr>
            <w:tcW w:w="900" w:type="dxa"/>
            <w:vMerge w:val="continue"/>
            <w:tcBorders>
              <w:top w:val="double" w:color="auto" w:sz="4" w:space="0"/>
              <w:left w:val="double" w:color="auto" w:sz="4" w:space="0"/>
              <w:bottom w:val="double" w:color="auto" w:sz="4" w:space="0"/>
              <w:right w:val="single" w:color="auto" w:sz="4" w:space="0"/>
            </w:tcBorders>
            <w:vAlign w:val="center"/>
          </w:tcPr>
          <w:p>
            <w:pPr>
              <w:ind w:right="439" w:rightChars="209"/>
              <w:jc w:val="center"/>
              <w:rPr>
                <w:rFonts w:ascii="宋体" w:hAnsi="宋体"/>
                <w:color w:val="auto"/>
                <w:sz w:val="24"/>
              </w:rPr>
            </w:pPr>
          </w:p>
        </w:tc>
        <w:tc>
          <w:tcPr>
            <w:tcW w:w="2079" w:type="dxa"/>
            <w:tcBorders>
              <w:top w:val="single" w:color="auto" w:sz="6" w:space="0"/>
              <w:left w:val="single" w:color="auto" w:sz="4" w:space="0"/>
              <w:bottom w:val="double" w:color="auto" w:sz="4" w:space="0"/>
              <w:right w:val="single" w:color="auto" w:sz="4" w:space="0"/>
            </w:tcBorders>
            <w:vAlign w:val="center"/>
          </w:tcPr>
          <w:p>
            <w:pPr>
              <w:pStyle w:val="19"/>
              <w:widowControl w:val="0"/>
              <w:pBdr>
                <w:left w:val="none" w:color="auto" w:sz="0" w:space="0"/>
                <w:bottom w:val="none" w:color="auto" w:sz="0" w:space="0"/>
                <w:right w:val="none" w:color="auto" w:sz="0" w:space="0"/>
              </w:pBdr>
              <w:spacing w:before="0" w:beforeAutospacing="0" w:after="0" w:afterAutospacing="0"/>
              <w:jc w:val="center"/>
              <w:rPr>
                <w:color w:val="auto"/>
                <w:kern w:val="2"/>
                <w:szCs w:val="20"/>
                <w:lang w:bidi="he-IL"/>
              </w:rPr>
            </w:pPr>
          </w:p>
        </w:tc>
        <w:tc>
          <w:tcPr>
            <w:tcW w:w="2184" w:type="dxa"/>
            <w:tcBorders>
              <w:top w:val="single" w:color="auto" w:sz="6" w:space="0"/>
              <w:left w:val="single" w:color="auto" w:sz="4" w:space="0"/>
              <w:bottom w:val="double" w:color="auto" w:sz="4" w:space="0"/>
              <w:right w:val="single" w:color="auto" w:sz="4" w:space="0"/>
            </w:tcBorders>
            <w:vAlign w:val="center"/>
          </w:tcPr>
          <w:p>
            <w:pPr>
              <w:jc w:val="center"/>
              <w:rPr>
                <w:rFonts w:ascii="宋体" w:hAnsi="宋体"/>
                <w:color w:val="auto"/>
                <w:sz w:val="24"/>
              </w:rPr>
            </w:pPr>
          </w:p>
        </w:tc>
        <w:tc>
          <w:tcPr>
            <w:tcW w:w="2296" w:type="dxa"/>
            <w:tcBorders>
              <w:top w:val="single" w:color="auto" w:sz="6" w:space="0"/>
              <w:left w:val="single" w:color="auto" w:sz="4" w:space="0"/>
              <w:bottom w:val="double" w:color="auto" w:sz="4" w:space="0"/>
              <w:right w:val="double" w:color="auto" w:sz="4" w:space="0"/>
            </w:tcBorders>
            <w:vAlign w:val="center"/>
          </w:tcPr>
          <w:p>
            <w:pPr>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90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会</w:t>
            </w:r>
          </w:p>
          <w:p>
            <w:pPr>
              <w:jc w:val="center"/>
              <w:rPr>
                <w:rFonts w:ascii="宋体" w:hAnsi="宋体"/>
                <w:color w:val="auto"/>
                <w:sz w:val="24"/>
              </w:rPr>
            </w:pPr>
            <w:r>
              <w:rPr>
                <w:rFonts w:hint="eastAsia" w:ascii="宋体" w:hAnsi="宋体"/>
                <w:color w:val="auto"/>
                <w:sz w:val="24"/>
              </w:rPr>
              <w:t>签</w:t>
            </w:r>
          </w:p>
        </w:tc>
        <w:tc>
          <w:tcPr>
            <w:tcW w:w="2079" w:type="dxa"/>
            <w:tcBorders>
              <w:top w:val="double" w:color="auto" w:sz="4" w:space="0"/>
              <w:left w:val="single" w:color="auto" w:sz="4" w:space="0"/>
              <w:bottom w:val="single" w:color="auto" w:sz="4" w:space="0"/>
              <w:right w:val="single" w:color="auto" w:sz="4" w:space="0"/>
            </w:tcBorders>
            <w:vAlign w:val="center"/>
          </w:tcPr>
          <w:p>
            <w:pPr>
              <w:jc w:val="center"/>
              <w:rPr>
                <w:rFonts w:hint="default" w:ascii="宋体" w:hAnsi="宋体"/>
                <w:color w:val="auto"/>
                <w:sz w:val="24"/>
                <w:lang w:val="en-US"/>
              </w:rPr>
            </w:pPr>
            <w:r>
              <w:rPr>
                <w:rFonts w:hint="eastAsia" w:ascii="宋体" w:hAnsi="宋体"/>
                <w:color w:val="auto"/>
                <w:sz w:val="24"/>
                <w:lang w:val="en-US" w:eastAsia="zh-CN"/>
              </w:rPr>
              <w:t>IT与流程部</w:t>
            </w:r>
          </w:p>
        </w:tc>
        <w:tc>
          <w:tcPr>
            <w:tcW w:w="2184" w:type="dxa"/>
            <w:tcBorders>
              <w:top w:val="double" w:color="auto" w:sz="4" w:space="0"/>
              <w:left w:val="single" w:color="auto" w:sz="4" w:space="0"/>
              <w:bottom w:val="single" w:color="auto" w:sz="4" w:space="0"/>
              <w:right w:val="single" w:color="auto" w:sz="4" w:space="0"/>
            </w:tcBorders>
            <w:vAlign w:val="center"/>
          </w:tcPr>
          <w:p>
            <w:pPr>
              <w:ind w:right="-2" w:rightChars="-1"/>
              <w:jc w:val="center"/>
              <w:rPr>
                <w:rFonts w:ascii="宋体" w:hAnsi="宋体"/>
                <w:color w:val="auto"/>
                <w:sz w:val="24"/>
              </w:rPr>
            </w:pPr>
            <w:r>
              <w:rPr>
                <w:rFonts w:hint="eastAsia" w:ascii="宋体" w:hAnsi="宋体"/>
                <w:color w:val="auto"/>
                <w:sz w:val="24"/>
              </w:rPr>
              <w:t>设备动力</w:t>
            </w:r>
            <w:r>
              <w:rPr>
                <w:rFonts w:hint="eastAsia" w:ascii="宋体" w:hAnsi="宋体"/>
                <w:color w:val="auto"/>
                <w:sz w:val="24"/>
                <w:lang w:eastAsia="zh-CN"/>
              </w:rPr>
              <w:t>室</w:t>
            </w:r>
          </w:p>
        </w:tc>
        <w:tc>
          <w:tcPr>
            <w:tcW w:w="2296" w:type="dxa"/>
            <w:tcBorders>
              <w:top w:val="double" w:color="auto" w:sz="4" w:space="0"/>
              <w:left w:val="single" w:color="auto" w:sz="4" w:space="0"/>
              <w:bottom w:val="single" w:color="auto" w:sz="4" w:space="0"/>
              <w:right w:val="double" w:color="auto" w:sz="4" w:space="0"/>
            </w:tcBorders>
            <w:vAlign w:val="center"/>
          </w:tcPr>
          <w:p>
            <w:pPr>
              <w:ind w:right="-2" w:rightChars="-1"/>
              <w:jc w:val="center"/>
              <w:rPr>
                <w:rFonts w:hint="eastAsia" w:ascii="宋体" w:hAnsi="宋体" w:eastAsiaTheme="minorEastAsia"/>
                <w:color w:val="auto"/>
                <w:sz w:val="24"/>
                <w:lang w:eastAsia="zh-CN"/>
              </w:rPr>
            </w:pPr>
            <w:r>
              <w:rPr>
                <w:rFonts w:hint="eastAsia" w:ascii="宋体" w:hAnsi="宋体"/>
                <w:color w:val="auto"/>
                <w:sz w:val="24"/>
                <w:lang w:eastAsia="zh-CN"/>
              </w:rPr>
              <w:t>总装车间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00" w:type="dxa"/>
            <w:vMerge w:val="continue"/>
            <w:tcBorders>
              <w:top w:val="single" w:color="auto" w:sz="4" w:space="0"/>
              <w:left w:val="double" w:color="auto" w:sz="4" w:space="0"/>
              <w:right w:val="single" w:color="auto" w:sz="4" w:space="0"/>
            </w:tcBorders>
            <w:vAlign w:val="center"/>
          </w:tcPr>
          <w:p>
            <w:pPr>
              <w:jc w:val="center"/>
              <w:rPr>
                <w:rFonts w:ascii="宋体" w:hAnsi="宋体"/>
                <w:color w:val="auto"/>
                <w:sz w:val="24"/>
              </w:rPr>
            </w:pPr>
          </w:p>
        </w:tc>
        <w:tc>
          <w:tcPr>
            <w:tcW w:w="20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c>
          <w:tcPr>
            <w:tcW w:w="2184" w:type="dxa"/>
            <w:tcBorders>
              <w:top w:val="single" w:color="auto" w:sz="4" w:space="0"/>
              <w:left w:val="single" w:color="auto" w:sz="4" w:space="0"/>
              <w:bottom w:val="single" w:color="auto" w:sz="4" w:space="0"/>
              <w:right w:val="single" w:color="auto" w:sz="4" w:space="0"/>
            </w:tcBorders>
            <w:vAlign w:val="center"/>
          </w:tcPr>
          <w:p>
            <w:pPr>
              <w:ind w:right="-2" w:rightChars="-1"/>
              <w:jc w:val="center"/>
              <w:rPr>
                <w:rFonts w:ascii="宋体" w:hAnsi="宋体"/>
                <w:color w:val="auto"/>
                <w:sz w:val="24"/>
              </w:rPr>
            </w:pPr>
          </w:p>
        </w:tc>
        <w:tc>
          <w:tcPr>
            <w:tcW w:w="2296" w:type="dxa"/>
            <w:tcBorders>
              <w:top w:val="single" w:color="auto" w:sz="4" w:space="0"/>
              <w:left w:val="single" w:color="auto" w:sz="4" w:space="0"/>
              <w:bottom w:val="single" w:color="auto" w:sz="4" w:space="0"/>
              <w:right w:val="double" w:color="auto" w:sz="4" w:space="0"/>
            </w:tcBorders>
            <w:vAlign w:val="center"/>
          </w:tcPr>
          <w:p>
            <w:pPr>
              <w:ind w:right="-2" w:rightChars="-1"/>
              <w:jc w:val="center"/>
              <w:rPr>
                <w:rFonts w:ascii="宋体" w:hAnsi="宋体"/>
                <w:color w:val="auto"/>
                <w:sz w:val="24"/>
              </w:rPr>
            </w:pPr>
          </w:p>
        </w:tc>
      </w:tr>
    </w:tbl>
    <w:p>
      <w:pPr>
        <w:pStyle w:val="18"/>
        <w:spacing w:line="360" w:lineRule="auto"/>
        <w:ind w:firstLine="199" w:firstLineChars="95"/>
        <w:rPr>
          <w:color w:val="auto"/>
        </w:rPr>
      </w:pPr>
    </w:p>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华文中宋" w:hAnsi="华文中宋" w:eastAsia="华文中宋" w:cs="华文中宋"/>
          <w:color w:val="auto"/>
          <w:sz w:val="32"/>
          <w:szCs w:val="32"/>
          <w:lang w:eastAsia="zh-CN"/>
        </w:rPr>
      </w:pPr>
      <w:r>
        <w:rPr>
          <w:rFonts w:hint="eastAsia" w:ascii="华文中宋" w:hAnsi="华文中宋" w:eastAsia="华文中宋" w:cs="华文中宋"/>
          <w:color w:val="auto"/>
          <w:sz w:val="32"/>
          <w:szCs w:val="32"/>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eastAsia="zh-CN"/>
        </w:rPr>
        <w:t>项目内容及工程分界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项目通过配置定扭设备、网络架设、系统软件开发、应用，实现扭矩工艺参数下发、扭矩结果数据采集和可追溯，加强关键扭矩的过程管控能力，提升产品质量。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60" w:lineRule="auto"/>
        <w:ind w:left="0" w:leftChars="0" w:firstLine="420" w:firstLineChars="0"/>
        <w:textAlignment w:val="auto"/>
        <w:outlineLvl w:val="9"/>
        <w:rPr>
          <w:rFonts w:hint="eastAsia"/>
          <w:color w:val="auto"/>
          <w:sz w:val="24"/>
          <w:szCs w:val="24"/>
          <w:lang w:val="en-US" w:eastAsia="zh-CN"/>
        </w:rPr>
      </w:pPr>
      <w:r>
        <w:rPr>
          <w:rFonts w:hint="eastAsia"/>
          <w:color w:val="auto"/>
          <w:sz w:val="24"/>
          <w:szCs w:val="24"/>
          <w:lang w:val="en-US" w:eastAsia="zh-CN"/>
        </w:rPr>
        <w:t>项目内容</w:t>
      </w:r>
    </w:p>
    <w:p>
      <w:pPr>
        <w:pStyle w:val="2"/>
        <w:numPr>
          <w:ilvl w:val="0"/>
          <w:numId w:val="3"/>
        </w:numPr>
        <w:ind w:left="360" w:leftChars="0" w:firstLine="0" w:firstLine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新增12套定扭工具用于新能源车辆高压设备安全项紧固件定扭锁付。</w:t>
      </w:r>
    </w:p>
    <w:p>
      <w:pPr>
        <w:pStyle w:val="2"/>
        <w:numPr>
          <w:ilvl w:val="0"/>
          <w:numId w:val="3"/>
        </w:numPr>
        <w:ind w:left="360" w:leftChars="0" w:firstLine="0" w:firstLineChars="0"/>
        <w:rPr>
          <w:rFonts w:hint="default" w:cstheme="minorBidi"/>
          <w:color w:val="auto"/>
          <w:kern w:val="2"/>
          <w:sz w:val="24"/>
          <w:szCs w:val="24"/>
          <w:lang w:val="en-US" w:eastAsia="zh-CN" w:bidi="ar-SA"/>
        </w:rPr>
      </w:pPr>
      <w:r>
        <w:rPr>
          <w:rFonts w:hint="eastAsia" w:cstheme="minorBidi"/>
          <w:color w:val="auto"/>
          <w:kern w:val="2"/>
          <w:sz w:val="24"/>
          <w:szCs w:val="24"/>
          <w:lang w:val="en-US" w:eastAsia="zh-CN" w:bidi="ar-SA"/>
        </w:rPr>
        <w:t>新增11套扭矩控制系统硬件及配套追溯软件，覆盖现有及新增设备的扭矩防错管控，扭矩防错系统与我司MES系统集成，实现数据可追溯。</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60" w:lineRule="auto"/>
        <w:ind w:left="0" w:leftChars="0" w:firstLine="420" w:firstLineChars="0"/>
        <w:textAlignment w:val="auto"/>
        <w:outlineLvl w:val="9"/>
        <w:rPr>
          <w:rFonts w:hint="default"/>
          <w:color w:val="auto"/>
          <w:sz w:val="24"/>
          <w:szCs w:val="24"/>
          <w:lang w:val="en-US" w:eastAsia="zh-CN"/>
        </w:rPr>
      </w:pPr>
      <w:r>
        <w:rPr>
          <w:rFonts w:hint="eastAsia"/>
          <w:color w:val="auto"/>
          <w:sz w:val="24"/>
          <w:szCs w:val="24"/>
          <w:lang w:val="en-US" w:eastAsia="zh-CN"/>
        </w:rPr>
        <w:t>项目工程分界</w:t>
      </w:r>
    </w:p>
    <w:p>
      <w:pPr>
        <w:ind w:firstLine="240" w:firstLineChars="10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（1）乙方负责按“</w:t>
      </w:r>
      <w:r>
        <w:rPr>
          <w:rFonts w:hint="eastAsia" w:cstheme="minorBidi"/>
          <w:b/>
          <w:bCs/>
          <w:color w:val="auto"/>
          <w:kern w:val="2"/>
          <w:sz w:val="24"/>
          <w:szCs w:val="24"/>
          <w:lang w:val="en-US" w:eastAsia="zh-CN" w:bidi="ar-SA"/>
        </w:rPr>
        <w:t>二、设备描述</w:t>
      </w:r>
      <w:r>
        <w:rPr>
          <w:rFonts w:hint="eastAsia" w:cstheme="minorBidi"/>
          <w:color w:val="auto"/>
          <w:kern w:val="2"/>
          <w:sz w:val="24"/>
          <w:szCs w:val="24"/>
          <w:lang w:val="en-US" w:eastAsia="zh-CN" w:bidi="ar-SA"/>
        </w:rPr>
        <w:t>”提供设备、软件并负责线边工具控制系统开发，MES系统由甲方负责开发。</w:t>
      </w:r>
    </w:p>
    <w:p>
      <w:pPr>
        <w:ind w:firstLine="240" w:firstLineChars="10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（2）车间网络由设备厂家提出需求，由甲方负责搭建。</w:t>
      </w:r>
    </w:p>
    <w:p>
      <w:pPr>
        <w:ind w:firstLine="240" w:firstLineChars="10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（3）MES系统中的目标扭矩系统、数据存储、分析系统由甲方负责开发、维护。</w:t>
      </w:r>
    </w:p>
    <w:p>
      <w:pPr>
        <w:ind w:firstLine="240" w:firstLineChars="100"/>
        <w:rPr>
          <w:rFonts w:hint="eastAsia" w:cstheme="minorBidi"/>
          <w:color w:val="auto"/>
          <w:kern w:val="2"/>
          <w:sz w:val="24"/>
          <w:szCs w:val="24"/>
          <w:lang w:val="en-US" w:eastAsia="zh-CN" w:bidi="ar-SA"/>
        </w:rPr>
      </w:pPr>
      <w:r>
        <w:rPr>
          <w:rFonts w:hint="eastAsia" w:cstheme="minorBidi"/>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w:t>
      </w:r>
      <w:r>
        <w:rPr>
          <w:rFonts w:hint="eastAsia" w:cstheme="minorBidi"/>
          <w:color w:val="auto"/>
          <w:kern w:val="2"/>
          <w:sz w:val="24"/>
          <w:szCs w:val="24"/>
          <w:lang w:val="en-US" w:eastAsia="zh-CN" w:bidi="ar-SA"/>
        </w:rPr>
        <w:t>供应商需赴采购人现场，对本项目现场情况与实施环境进行仔细认真踏勘、了解采购人设施的现状及项目实施过程中重难点问题，并与采购人技术部门充分交流，商讨并拟定确实可行、可靠的项目实施方案。</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设备描述</w:t>
      </w:r>
    </w:p>
    <w:p>
      <w:pPr>
        <w:keepNext w:val="0"/>
        <w:keepLines w:val="0"/>
        <w:pageBreakBefore w:val="0"/>
        <w:widowControl w:val="0"/>
        <w:numPr>
          <w:ilvl w:val="0"/>
          <w:numId w:val="4"/>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color w:val="auto"/>
          <w:sz w:val="24"/>
          <w:lang w:eastAsia="zh-CN"/>
        </w:rPr>
      </w:pPr>
      <w:r>
        <w:rPr>
          <w:rFonts w:hint="eastAsia" w:ascii="宋体" w:hAnsi="宋体"/>
          <w:color w:val="auto"/>
          <w:sz w:val="24"/>
          <w:lang w:eastAsia="zh-CN"/>
        </w:rPr>
        <w:t>设备名称：电动拧紧电枪及</w:t>
      </w:r>
      <w:r>
        <w:rPr>
          <w:rFonts w:hint="eastAsia" w:cstheme="minorBidi"/>
          <w:color w:val="auto"/>
          <w:kern w:val="2"/>
          <w:sz w:val="24"/>
          <w:szCs w:val="24"/>
          <w:lang w:val="en-US" w:eastAsia="zh-CN" w:bidi="ar-SA"/>
        </w:rPr>
        <w:t>扭矩防错系统</w:t>
      </w:r>
    </w:p>
    <w:p>
      <w:pPr>
        <w:keepNext w:val="0"/>
        <w:keepLines w:val="0"/>
        <w:pageBreakBefore w:val="0"/>
        <w:widowControl w:val="0"/>
        <w:numPr>
          <w:ilvl w:val="0"/>
          <w:numId w:val="4"/>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color w:val="auto"/>
          <w:sz w:val="24"/>
        </w:rPr>
      </w:pPr>
      <w:r>
        <w:rPr>
          <w:rFonts w:hint="eastAsia" w:ascii="宋体" w:hAnsi="宋体" w:eastAsia="宋体" w:cs="宋体"/>
          <w:color w:val="auto"/>
          <w:sz w:val="24"/>
        </w:rPr>
        <w:t>设备用途：</w:t>
      </w:r>
      <w:r>
        <w:rPr>
          <w:rFonts w:hint="eastAsia" w:ascii="宋体" w:hAnsi="宋体"/>
          <w:color w:val="auto"/>
          <w:sz w:val="24"/>
          <w:lang w:eastAsia="zh-CN"/>
        </w:rPr>
        <w:t>新能源车辆高压设备安全项紧固件使用</w:t>
      </w:r>
    </w:p>
    <w:p>
      <w:pPr>
        <w:keepNext w:val="0"/>
        <w:keepLines w:val="0"/>
        <w:pageBreakBefore w:val="0"/>
        <w:widowControl w:val="0"/>
        <w:numPr>
          <w:ilvl w:val="0"/>
          <w:numId w:val="5"/>
        </w:numPr>
        <w:kinsoku/>
        <w:wordWrap/>
        <w:overflowPunct/>
        <w:topLinePunct w:val="0"/>
        <w:autoSpaceDE/>
        <w:autoSpaceDN/>
        <w:bidi w:val="0"/>
        <w:adjustRightInd/>
        <w:snapToGrid/>
        <w:spacing w:after="160" w:line="440" w:lineRule="exact"/>
        <w:ind w:left="0" w:leftChars="0" w:right="0" w:rightChars="0" w:firstLine="420" w:firstLineChars="0"/>
        <w:jc w:val="left"/>
        <w:textAlignment w:val="auto"/>
        <w:outlineLvl w:val="9"/>
        <w:rPr>
          <w:rFonts w:ascii="宋体" w:hAnsi="宋体" w:eastAsia="宋体" w:cs="宋体"/>
          <w:color w:val="auto"/>
          <w:sz w:val="24"/>
          <w:szCs w:val="24"/>
        </w:rPr>
      </w:pPr>
      <w:r>
        <w:rPr>
          <w:rFonts w:hint="eastAsia" w:ascii="宋体" w:hAnsi="宋体" w:eastAsia="宋体" w:cs="宋体"/>
          <w:color w:val="auto"/>
          <w:sz w:val="24"/>
        </w:rPr>
        <w:t xml:space="preserve">采购数量： </w:t>
      </w:r>
      <w:r>
        <w:rPr>
          <w:rFonts w:hint="eastAsia" w:ascii="宋体" w:hAnsi="宋体" w:eastAsia="宋体" w:cs="宋体"/>
          <w:color w:val="auto"/>
          <w:sz w:val="24"/>
          <w:lang w:eastAsia="zh-CN"/>
        </w:rPr>
        <w:t>高压电池</w:t>
      </w:r>
      <w:r>
        <w:rPr>
          <w:rFonts w:hint="eastAsia" w:ascii="宋体" w:hAnsi="宋体" w:eastAsia="宋体" w:cs="宋体"/>
          <w:color w:val="auto"/>
          <w:sz w:val="24"/>
        </w:rPr>
        <w:t>螺栓</w:t>
      </w:r>
      <w:r>
        <w:rPr>
          <w:rFonts w:hint="eastAsia" w:ascii="宋体" w:hAnsi="宋体" w:eastAsia="宋体" w:cs="宋体"/>
          <w:color w:val="auto"/>
          <w:sz w:val="24"/>
          <w:lang w:eastAsia="zh-CN"/>
        </w:rPr>
        <w:t>拧紧电枪</w:t>
      </w:r>
      <w:r>
        <w:rPr>
          <w:rFonts w:hint="eastAsia" w:ascii="宋体" w:hAnsi="宋体" w:eastAsia="宋体" w:cs="宋体"/>
          <w:color w:val="auto"/>
          <w:sz w:val="24"/>
          <w:szCs w:val="24"/>
          <w:lang w:val="en-US" w:eastAsia="zh-CN"/>
        </w:rPr>
        <w:t>（20-100NM）</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6</w:t>
      </w:r>
      <w:r>
        <w:rPr>
          <w:rFonts w:hint="eastAsia" w:ascii="宋体" w:hAnsi="宋体" w:eastAsia="宋体" w:cs="宋体"/>
          <w:color w:val="auto"/>
          <w:sz w:val="24"/>
        </w:rPr>
        <w:t>套</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2400" w:firstLineChars="1000"/>
        <w:jc w:val="left"/>
        <w:textAlignment w:val="auto"/>
        <w:outlineLvl w:val="9"/>
        <w:rPr>
          <w:rFonts w:hint="eastAsia" w:ascii="宋体" w:hAnsi="宋体" w:eastAsia="宋体" w:cs="宋体"/>
          <w:color w:val="auto"/>
          <w:sz w:val="24"/>
        </w:rPr>
      </w:pPr>
      <w:r>
        <w:rPr>
          <w:rFonts w:hint="eastAsia" w:ascii="宋体" w:hAnsi="宋体"/>
          <w:b w:val="0"/>
          <w:bCs w:val="0"/>
          <w:color w:val="auto"/>
          <w:sz w:val="24"/>
          <w:lang w:eastAsia="zh-CN"/>
        </w:rPr>
        <w:t>电池接线柱及控制器接线</w:t>
      </w:r>
      <w:r>
        <w:rPr>
          <w:rFonts w:hint="eastAsia" w:ascii="宋体" w:hAnsi="宋体" w:eastAsia="宋体" w:cs="宋体"/>
          <w:color w:val="auto"/>
          <w:sz w:val="24"/>
          <w:szCs w:val="24"/>
          <w:lang w:eastAsia="zh-CN"/>
        </w:rPr>
        <w:t>拧紧电枪</w:t>
      </w:r>
      <w:r>
        <w:rPr>
          <w:rFonts w:hint="eastAsia" w:ascii="宋体" w:hAnsi="宋体" w:eastAsia="宋体" w:cs="宋体"/>
          <w:color w:val="auto"/>
          <w:sz w:val="24"/>
          <w:szCs w:val="24"/>
          <w:highlight w:val="none"/>
          <w:lang w:val="en-US" w:eastAsia="zh-CN" w:bidi="ar"/>
        </w:rPr>
        <w:t>(10-50Nm)</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6</w:t>
      </w:r>
      <w:r>
        <w:rPr>
          <w:rFonts w:hint="eastAsia" w:ascii="宋体" w:hAnsi="宋体" w:eastAsia="宋体" w:cs="宋体"/>
          <w:color w:val="auto"/>
          <w:sz w:val="24"/>
        </w:rPr>
        <w:t>套</w:t>
      </w:r>
    </w:p>
    <w:p>
      <w:pPr>
        <w:pStyle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 xml:space="preserve">                    </w:t>
      </w:r>
      <w:r>
        <w:rPr>
          <w:rFonts w:hint="eastAsia" w:ascii="宋体" w:hAnsi="宋体"/>
          <w:color w:val="auto"/>
          <w:sz w:val="24"/>
          <w:lang w:eastAsia="zh-CN"/>
        </w:rPr>
        <w:t>扭矩控制系统硬件及配套追溯软件</w:t>
      </w:r>
      <w:r>
        <w:rPr>
          <w:rFonts w:hint="eastAsia" w:ascii="宋体" w:hAnsi="宋体"/>
          <w:color w:val="auto"/>
          <w:sz w:val="24"/>
          <w:lang w:val="en-US" w:eastAsia="zh-CN"/>
        </w:rPr>
        <w:t xml:space="preserve">      </w:t>
      </w:r>
      <w:r>
        <w:rPr>
          <w:rFonts w:hint="eastAsia" w:ascii="宋体" w:hAnsi="宋体" w:eastAsia="宋体" w:cs="宋体"/>
          <w:color w:val="auto"/>
          <w:kern w:val="2"/>
          <w:sz w:val="24"/>
          <w:szCs w:val="24"/>
          <w:lang w:val="en-US" w:eastAsia="zh-CN" w:bidi="ar-SA"/>
        </w:rPr>
        <w:t>11套</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设备环境适应性要求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color w:val="auto"/>
          <w:sz w:val="24"/>
        </w:rPr>
      </w:pPr>
      <w:r>
        <w:rPr>
          <w:rFonts w:hint="eastAsia" w:ascii="宋体" w:hAnsi="宋体" w:eastAsia="宋体" w:cs="宋体"/>
          <w:color w:val="auto"/>
          <w:sz w:val="24"/>
        </w:rPr>
        <w:t>适应厦门金龙联合汽车工业有限公司现场空间设计要求及现场适用性要求。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车间温度：-5℃～45℃，相对湿度≤9</w:t>
      </w:r>
      <w:r>
        <w:rPr>
          <w:rFonts w:hint="eastAsia" w:ascii="宋体" w:hAnsi="宋体" w:eastAsia="宋体" w:cs="宋体"/>
          <w:color w:val="auto"/>
          <w:sz w:val="24"/>
          <w:lang w:val="en-US" w:eastAsia="zh-CN"/>
        </w:rPr>
        <w:t>8</w:t>
      </w:r>
      <w:r>
        <w:rPr>
          <w:rFonts w:hint="eastAsia" w:ascii="宋体" w:hAnsi="宋体" w:eastAsia="宋体" w:cs="宋体"/>
          <w:color w:val="auto"/>
          <w:sz w:val="24"/>
        </w:rPr>
        <w:t>%的环境要求。</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电    压： 380V±10%  50Hz  三相五线制。</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2160" w:firstLineChars="9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220V±10%  50Hz  单相电</w:t>
      </w:r>
      <w:r>
        <w:rPr>
          <w:rFonts w:hint="eastAsia" w:ascii="宋体" w:hAnsi="宋体" w:eastAsia="宋体" w:cs="宋体"/>
          <w:color w:val="auto"/>
          <w:sz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PLC控制柜、</w:t>
      </w:r>
      <w:r>
        <w:rPr>
          <w:rFonts w:hint="eastAsia" w:ascii="宋体" w:hAnsi="宋体" w:eastAsia="宋体" w:cs="宋体"/>
          <w:color w:val="auto"/>
          <w:sz w:val="24"/>
          <w:lang w:eastAsia="zh-CN"/>
        </w:rPr>
        <w:t>拧紧</w:t>
      </w:r>
      <w:r>
        <w:rPr>
          <w:rFonts w:hint="eastAsia" w:ascii="宋体" w:hAnsi="宋体" w:eastAsia="宋体" w:cs="宋体"/>
          <w:color w:val="auto"/>
          <w:sz w:val="24"/>
        </w:rPr>
        <w:t>控制器防护等级：IP54。</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设备噪声：不大于65dB。</w:t>
      </w:r>
    </w:p>
    <w:p>
      <w:pPr>
        <w:keepNext w:val="0"/>
        <w:keepLines w:val="0"/>
        <w:pageBreakBefore w:val="0"/>
        <w:widowControl w:val="0"/>
        <w:numPr>
          <w:ilvl w:val="0"/>
          <w:numId w:val="6"/>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设备保证在使用地的气候条件</w:t>
      </w:r>
      <w:r>
        <w:rPr>
          <w:rFonts w:hint="eastAsia" w:ascii="宋体" w:hAnsi="宋体" w:eastAsia="宋体" w:cs="宋体"/>
          <w:color w:val="auto"/>
          <w:sz w:val="24"/>
          <w:lang w:eastAsia="zh-CN"/>
        </w:rPr>
        <w:t>下</w:t>
      </w:r>
      <w:r>
        <w:rPr>
          <w:rFonts w:hint="eastAsia" w:ascii="宋体" w:hAnsi="宋体" w:eastAsia="宋体" w:cs="宋体"/>
          <w:color w:val="auto"/>
          <w:sz w:val="24"/>
        </w:rPr>
        <w:t>不会对其功能、测量的稳定性及使用寿命，包括液压、气动、电气的控制部分及测试仪表产生不良影响。</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ascii="华文中宋" w:hAnsi="华文中宋" w:eastAsia="华文中宋" w:cs="华文中宋"/>
          <w:color w:val="auto"/>
          <w:sz w:val="28"/>
          <w:szCs w:val="28"/>
        </w:rPr>
      </w:pPr>
      <w:r>
        <w:rPr>
          <w:rFonts w:hint="eastAsia" w:ascii="华文中宋" w:hAnsi="华文中宋" w:eastAsia="华文中宋" w:cs="华文中宋"/>
          <w:color w:val="auto"/>
          <w:sz w:val="28"/>
          <w:szCs w:val="28"/>
        </w:rPr>
        <w:t>设备</w:t>
      </w:r>
      <w:r>
        <w:rPr>
          <w:rFonts w:hint="eastAsia" w:ascii="华文中宋" w:hAnsi="华文中宋" w:eastAsia="华文中宋" w:cs="华文中宋"/>
          <w:color w:val="auto"/>
          <w:sz w:val="28"/>
          <w:szCs w:val="28"/>
          <w:lang w:eastAsia="zh-CN"/>
        </w:rPr>
        <w:t>工艺技术</w:t>
      </w:r>
      <w:r>
        <w:rPr>
          <w:rFonts w:hint="eastAsia" w:ascii="华文中宋" w:hAnsi="华文中宋" w:eastAsia="华文中宋" w:cs="华文中宋"/>
          <w:color w:val="auto"/>
          <w:sz w:val="28"/>
          <w:szCs w:val="28"/>
        </w:rPr>
        <w:t>要求</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（一）高压电池</w:t>
      </w:r>
      <w:r>
        <w:rPr>
          <w:rFonts w:hint="eastAsia" w:ascii="宋体" w:hAnsi="宋体" w:eastAsia="宋体" w:cs="宋体"/>
          <w:color w:val="auto"/>
          <w:sz w:val="24"/>
        </w:rPr>
        <w:t>螺栓</w:t>
      </w:r>
      <w:r>
        <w:rPr>
          <w:rFonts w:hint="eastAsia" w:ascii="宋体" w:hAnsi="宋体" w:eastAsia="宋体" w:cs="宋体"/>
          <w:color w:val="auto"/>
          <w:sz w:val="24"/>
          <w:lang w:eastAsia="zh-CN"/>
        </w:rPr>
        <w:t>拧紧电枪</w:t>
      </w:r>
    </w:p>
    <w:p>
      <w:pPr>
        <w:keepNext w:val="0"/>
        <w:keepLines w:val="0"/>
        <w:pageBreakBefore w:val="0"/>
        <w:widowControl w:val="0"/>
        <w:numPr>
          <w:ilvl w:val="0"/>
          <w:numId w:val="7"/>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color w:val="auto"/>
          <w:sz w:val="24"/>
        </w:rPr>
      </w:pPr>
      <w:r>
        <w:rPr>
          <w:rFonts w:hint="eastAsia" w:ascii="宋体" w:hAnsi="宋体" w:eastAsia="宋体" w:cs="宋体"/>
          <w:color w:val="auto"/>
          <w:sz w:val="24"/>
          <w:lang w:val="en-US" w:eastAsia="zh-CN"/>
        </w:rPr>
        <w:t>6套</w:t>
      </w:r>
      <w:r>
        <w:rPr>
          <w:rFonts w:hint="eastAsia" w:ascii="宋体" w:hAnsi="宋体" w:eastAsia="宋体" w:cs="宋体"/>
          <w:color w:val="auto"/>
          <w:sz w:val="24"/>
          <w:lang w:eastAsia="zh-CN"/>
        </w:rPr>
        <w:t>拧紧电枪应至少包含以下配置：</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无线拧紧电枪（直柄弯头式）</w:t>
      </w:r>
      <w:r>
        <w:rPr>
          <w:rFonts w:hint="eastAsia" w:ascii="宋体" w:hAnsi="宋体" w:eastAsia="宋体" w:cs="宋体"/>
          <w:color w:val="auto"/>
          <w:sz w:val="24"/>
          <w:lang w:val="en-US" w:eastAsia="zh-CN"/>
        </w:rPr>
        <w:t>6件</w:t>
      </w:r>
      <w:r>
        <w:rPr>
          <w:rFonts w:hint="eastAsia" w:ascii="宋体" w:hAnsi="宋体" w:eastAsia="宋体" w:cs="宋体"/>
          <w:color w:val="auto"/>
          <w:sz w:val="24"/>
          <w:lang w:eastAsia="zh-CN"/>
        </w:rPr>
        <w:t>、</w:t>
      </w:r>
      <w:r>
        <w:rPr>
          <w:rFonts w:hint="eastAsia" w:ascii="宋体" w:hAnsi="宋体" w:eastAsia="宋体" w:cs="宋体"/>
          <w:color w:val="auto"/>
          <w:sz w:val="24"/>
          <w:lang w:eastAsia="zh-CN"/>
        </w:rPr>
        <w:t>拧紧控制器</w:t>
      </w:r>
      <w:r>
        <w:rPr>
          <w:rFonts w:hint="eastAsia" w:ascii="宋体" w:hAnsi="宋体" w:eastAsia="宋体" w:cs="宋体"/>
          <w:color w:val="auto"/>
          <w:sz w:val="24"/>
          <w:lang w:val="en-US" w:eastAsia="zh-CN"/>
        </w:rPr>
        <w:t>3个（1拖2）</w:t>
      </w:r>
      <w:r>
        <w:rPr>
          <w:rFonts w:hint="eastAsia" w:ascii="宋体" w:hAnsi="宋体" w:eastAsia="宋体" w:cs="宋体"/>
          <w:color w:val="auto"/>
          <w:sz w:val="24"/>
          <w:lang w:eastAsia="zh-CN"/>
        </w:rPr>
        <w:t>、充电电池</w:t>
      </w:r>
      <w:r>
        <w:rPr>
          <w:rFonts w:hint="eastAsia" w:ascii="宋体" w:hAnsi="宋体" w:eastAsia="宋体" w:cs="宋体"/>
          <w:color w:val="auto"/>
          <w:sz w:val="24"/>
          <w:lang w:val="en-US" w:eastAsia="zh-CN"/>
        </w:rPr>
        <w:t>12件</w:t>
      </w:r>
      <w:r>
        <w:rPr>
          <w:rFonts w:hint="eastAsia" w:ascii="宋体" w:hAnsi="宋体" w:eastAsia="宋体" w:cs="宋体"/>
          <w:color w:val="auto"/>
          <w:sz w:val="24"/>
          <w:lang w:eastAsia="zh-CN"/>
        </w:rPr>
        <w:t>、充电座</w:t>
      </w:r>
      <w:r>
        <w:rPr>
          <w:rFonts w:hint="eastAsia" w:ascii="宋体" w:hAnsi="宋体" w:eastAsia="宋体" w:cs="宋体"/>
          <w:color w:val="auto"/>
          <w:sz w:val="24"/>
          <w:lang w:val="en-US" w:eastAsia="zh-CN"/>
        </w:rPr>
        <w:t>6件</w:t>
      </w:r>
      <w:r>
        <w:rPr>
          <w:rFonts w:hint="eastAsia" w:ascii="宋体" w:hAnsi="宋体" w:eastAsia="宋体" w:cs="宋体"/>
          <w:color w:val="auto"/>
          <w:sz w:val="24"/>
          <w:lang w:eastAsia="zh-CN"/>
        </w:rPr>
        <w:t>、套筒</w:t>
      </w:r>
      <w:r>
        <w:rPr>
          <w:rFonts w:hint="eastAsia" w:ascii="宋体" w:hAnsi="宋体" w:eastAsia="宋体" w:cs="宋体"/>
          <w:color w:val="auto"/>
          <w:sz w:val="24"/>
          <w:lang w:val="en-US" w:eastAsia="zh-CN"/>
        </w:rPr>
        <w:t>18件。</w:t>
      </w:r>
    </w:p>
    <w:p>
      <w:pPr>
        <w:keepNext w:val="0"/>
        <w:keepLines w:val="0"/>
        <w:pageBreakBefore w:val="0"/>
        <w:widowControl w:val="0"/>
        <w:numPr>
          <w:ilvl w:val="0"/>
          <w:numId w:val="7"/>
        </w:numPr>
        <w:kinsoku/>
        <w:wordWrap/>
        <w:overflowPunct/>
        <w:topLinePunct w:val="0"/>
        <w:autoSpaceDE/>
        <w:autoSpaceDN/>
        <w:bidi w:val="0"/>
        <w:adjustRightInd/>
        <w:snapToGrid/>
        <w:spacing w:after="160" w:line="440" w:lineRule="exact"/>
        <w:ind w:left="420" w:right="0" w:rightChars="0" w:firstLine="0"/>
        <w:jc w:val="left"/>
        <w:textAlignment w:val="auto"/>
        <w:outlineLvl w:val="9"/>
        <w:rPr>
          <w:rFonts w:ascii="宋体" w:hAnsi="宋体" w:eastAsia="宋体" w:cs="宋体"/>
          <w:color w:val="auto"/>
          <w:sz w:val="24"/>
        </w:rPr>
      </w:pPr>
      <w:r>
        <w:rPr>
          <w:rFonts w:hint="eastAsia" w:ascii="宋体" w:hAnsi="宋体" w:eastAsia="宋体" w:cs="宋体"/>
          <w:color w:val="auto"/>
          <w:sz w:val="24"/>
        </w:rPr>
        <w:t>拧紧力矩要求</w:t>
      </w:r>
    </w:p>
    <w:tbl>
      <w:tblPr>
        <w:tblStyle w:val="17"/>
        <w:tblW w:w="8044"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940"/>
        <w:gridCol w:w="206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6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294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拧紧部位</w:t>
            </w:r>
          </w:p>
        </w:tc>
        <w:tc>
          <w:tcPr>
            <w:tcW w:w="206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螺栓规格</w:t>
            </w:r>
          </w:p>
        </w:tc>
        <w:tc>
          <w:tcPr>
            <w:tcW w:w="2069"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扭矩要求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96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eastAsia="zh-CN"/>
              </w:rPr>
              <w:t>1</w:t>
            </w:r>
          </w:p>
        </w:tc>
        <w:tc>
          <w:tcPr>
            <w:tcW w:w="2940"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eastAsia="zh-CN"/>
              </w:rPr>
              <w:t>高压电池</w:t>
            </w:r>
          </w:p>
        </w:tc>
        <w:tc>
          <w:tcPr>
            <w:tcW w:w="206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M10  M12</w:t>
            </w:r>
          </w:p>
        </w:tc>
        <w:tc>
          <w:tcPr>
            <w:tcW w:w="2069"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60-70NM</w:t>
            </w:r>
          </w:p>
        </w:tc>
      </w:tr>
    </w:tbl>
    <w:p>
      <w:pPr>
        <w:keepNext w:val="0"/>
        <w:keepLines w:val="0"/>
        <w:pageBreakBefore w:val="0"/>
        <w:widowControl w:val="0"/>
        <w:numPr>
          <w:ilvl w:val="0"/>
          <w:numId w:val="0"/>
        </w:numPr>
        <w:tabs>
          <w:tab w:val="left" w:pos="256"/>
        </w:tabs>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（二）</w:t>
      </w:r>
      <w:r>
        <w:rPr>
          <w:rFonts w:hint="eastAsia" w:ascii="宋体" w:hAnsi="宋体"/>
          <w:b w:val="0"/>
          <w:bCs w:val="0"/>
          <w:color w:val="auto"/>
          <w:sz w:val="24"/>
          <w:lang w:eastAsia="zh-CN"/>
        </w:rPr>
        <w:t>电池接线柱及控制器接线</w:t>
      </w:r>
      <w:r>
        <w:rPr>
          <w:rFonts w:hint="eastAsia" w:ascii="宋体" w:hAnsi="宋体" w:eastAsia="宋体" w:cs="宋体"/>
          <w:color w:val="auto"/>
          <w:sz w:val="24"/>
          <w:szCs w:val="24"/>
          <w:lang w:eastAsia="zh-CN"/>
        </w:rPr>
        <w:t>拧紧电枪</w:t>
      </w:r>
    </w:p>
    <w:p>
      <w:pPr>
        <w:keepNext w:val="0"/>
        <w:keepLines w:val="0"/>
        <w:pageBreakBefore w:val="0"/>
        <w:widowControl w:val="0"/>
        <w:numPr>
          <w:ilvl w:val="0"/>
          <w:numId w:val="8"/>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6套</w:t>
      </w:r>
      <w:r>
        <w:rPr>
          <w:rFonts w:hint="eastAsia" w:ascii="宋体" w:hAnsi="宋体" w:eastAsia="宋体" w:cs="宋体"/>
          <w:color w:val="auto"/>
          <w:sz w:val="24"/>
          <w:lang w:eastAsia="zh-CN"/>
        </w:rPr>
        <w:t>电池接线柱及控制器接线拧紧电枪应至少包含以下配置：</w:t>
      </w:r>
      <w:r>
        <w:rPr>
          <w:rFonts w:hint="eastAsia" w:ascii="宋体" w:hAnsi="宋体" w:eastAsia="宋体" w:cs="宋体"/>
          <w:color w:val="auto"/>
          <w:sz w:val="24"/>
          <w:lang w:eastAsia="zh-CN"/>
        </w:rPr>
        <w:t>无线拧紧电枪（直柄弯头式）</w:t>
      </w:r>
      <w:r>
        <w:rPr>
          <w:rFonts w:hint="eastAsia" w:ascii="宋体" w:hAnsi="宋体" w:eastAsia="宋体" w:cs="宋体"/>
          <w:color w:val="auto"/>
          <w:sz w:val="24"/>
          <w:lang w:val="en-US" w:eastAsia="zh-CN"/>
        </w:rPr>
        <w:t>6件（</w:t>
      </w:r>
      <w:r>
        <w:rPr>
          <w:rFonts w:hint="eastAsia" w:ascii="宋体" w:hAnsi="宋体" w:eastAsia="宋体" w:cs="宋体"/>
          <w:color w:val="auto"/>
          <w:sz w:val="24"/>
          <w:lang w:eastAsia="zh-CN"/>
        </w:rPr>
        <w:t>直柄弯头式</w:t>
      </w:r>
      <w:r>
        <w:rPr>
          <w:rFonts w:hint="eastAsia" w:ascii="宋体" w:hAnsi="宋体" w:eastAsia="宋体" w:cs="宋体"/>
          <w:color w:val="auto"/>
          <w:sz w:val="24"/>
          <w:lang w:val="en-US" w:eastAsia="zh-CN"/>
        </w:rPr>
        <w:t>）</w:t>
      </w:r>
      <w:r>
        <w:rPr>
          <w:rFonts w:hint="eastAsia" w:ascii="宋体" w:hAnsi="宋体" w:eastAsia="宋体" w:cs="宋体"/>
          <w:color w:val="auto"/>
          <w:sz w:val="24"/>
          <w:lang w:eastAsia="zh-CN"/>
        </w:rPr>
        <w:t>、拧紧控制器</w:t>
      </w:r>
      <w:r>
        <w:rPr>
          <w:rFonts w:hint="eastAsia" w:ascii="宋体" w:hAnsi="宋体" w:eastAsia="宋体" w:cs="宋体"/>
          <w:color w:val="auto"/>
          <w:sz w:val="24"/>
          <w:lang w:val="en-US" w:eastAsia="zh-CN"/>
        </w:rPr>
        <w:t>3个（1拖2）</w:t>
      </w:r>
      <w:r>
        <w:rPr>
          <w:rFonts w:hint="eastAsia" w:ascii="宋体" w:hAnsi="宋体" w:eastAsia="宋体" w:cs="宋体"/>
          <w:color w:val="auto"/>
          <w:sz w:val="24"/>
          <w:lang w:eastAsia="zh-CN"/>
        </w:rPr>
        <w:t>、套筒</w:t>
      </w:r>
      <w:r>
        <w:rPr>
          <w:rFonts w:hint="eastAsia" w:ascii="宋体" w:hAnsi="宋体" w:eastAsia="宋体" w:cs="宋体"/>
          <w:color w:val="auto"/>
          <w:sz w:val="24"/>
          <w:lang w:val="en-US" w:eastAsia="zh-CN"/>
        </w:rPr>
        <w:t>18件</w:t>
      </w:r>
      <w:r>
        <w:rPr>
          <w:rFonts w:hint="eastAsia" w:ascii="宋体" w:hAnsi="宋体" w:eastAsia="宋体" w:cs="宋体"/>
          <w:color w:val="auto"/>
          <w:sz w:val="24"/>
          <w:lang w:eastAsia="zh-CN"/>
        </w:rPr>
        <w:t>、充电电池</w:t>
      </w:r>
      <w:r>
        <w:rPr>
          <w:rFonts w:hint="eastAsia" w:ascii="宋体" w:hAnsi="宋体" w:eastAsia="宋体" w:cs="宋体"/>
          <w:color w:val="auto"/>
          <w:sz w:val="24"/>
          <w:lang w:val="en-US" w:eastAsia="zh-CN"/>
        </w:rPr>
        <w:t>12件、充电座6件。</w:t>
      </w:r>
    </w:p>
    <w:p>
      <w:pPr>
        <w:keepNext w:val="0"/>
        <w:keepLines w:val="0"/>
        <w:pageBreakBefore w:val="0"/>
        <w:widowControl w:val="0"/>
        <w:numPr>
          <w:ilvl w:val="0"/>
          <w:numId w:val="8"/>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拧紧力矩要求</w:t>
      </w:r>
    </w:p>
    <w:tbl>
      <w:tblPr>
        <w:tblStyle w:val="17"/>
        <w:tblW w:w="8229"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132"/>
        <w:gridCol w:w="1896"/>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3132"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拧紧部位</w:t>
            </w:r>
          </w:p>
        </w:tc>
        <w:tc>
          <w:tcPr>
            <w:tcW w:w="18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螺</w:t>
            </w:r>
            <w:r>
              <w:rPr>
                <w:rFonts w:hint="eastAsia" w:ascii="宋体" w:hAnsi="宋体" w:eastAsia="宋体" w:cs="宋体"/>
                <w:color w:val="auto"/>
                <w:sz w:val="22"/>
                <w:szCs w:val="22"/>
                <w:lang w:eastAsia="zh-CN"/>
              </w:rPr>
              <w:t>母</w:t>
            </w:r>
            <w:r>
              <w:rPr>
                <w:rFonts w:hint="eastAsia" w:ascii="宋体" w:hAnsi="宋体" w:eastAsia="宋体" w:cs="宋体"/>
                <w:color w:val="auto"/>
                <w:sz w:val="22"/>
                <w:szCs w:val="22"/>
              </w:rPr>
              <w:t>规格</w:t>
            </w:r>
          </w:p>
        </w:tc>
        <w:tc>
          <w:tcPr>
            <w:tcW w:w="243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扭矩要求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3"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3132"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lang w:eastAsia="zh-CN"/>
              </w:rPr>
              <w:t>电池接线柱及控制器接线</w:t>
            </w:r>
          </w:p>
        </w:tc>
        <w:tc>
          <w:tcPr>
            <w:tcW w:w="18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lang w:eastAsia="zh-CN"/>
              </w:rPr>
              <w:t>M8  M10</w:t>
            </w:r>
          </w:p>
        </w:tc>
        <w:tc>
          <w:tcPr>
            <w:tcW w:w="2438"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lang w:eastAsia="zh-CN"/>
              </w:rPr>
              <w:t>20-35NM</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（三）</w:t>
      </w:r>
      <w:r>
        <w:rPr>
          <w:rFonts w:hint="eastAsia" w:ascii="宋体" w:hAnsi="宋体" w:eastAsia="宋体" w:cs="宋体"/>
          <w:color w:val="auto"/>
          <w:sz w:val="24"/>
          <w:szCs w:val="24"/>
          <w:lang w:val="en-US" w:eastAsia="zh-CN"/>
        </w:rPr>
        <w:t>拧紧防错系统硬件</w:t>
      </w:r>
    </w:p>
    <w:tbl>
      <w:tblPr>
        <w:tblStyle w:val="17"/>
        <w:tblW w:w="829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18"/>
        <w:gridCol w:w="844"/>
        <w:gridCol w:w="5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41"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序号</w:t>
            </w:r>
          </w:p>
        </w:tc>
        <w:tc>
          <w:tcPr>
            <w:tcW w:w="1318"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名称</w:t>
            </w:r>
          </w:p>
        </w:tc>
        <w:tc>
          <w:tcPr>
            <w:tcW w:w="844"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数量</w:t>
            </w:r>
          </w:p>
        </w:tc>
        <w:tc>
          <w:tcPr>
            <w:tcW w:w="5392"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74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1318"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扫码枪</w:t>
            </w:r>
          </w:p>
        </w:tc>
        <w:tc>
          <w:tcPr>
            <w:tcW w:w="844" w:type="dxa"/>
          </w:tcPr>
          <w:p>
            <w:pPr>
              <w:pStyle w:val="2"/>
              <w:rPr>
                <w:rFonts w:hint="default"/>
                <w:color w:val="auto"/>
                <w:sz w:val="24"/>
                <w:szCs w:val="24"/>
                <w:vertAlign w:val="baseline"/>
                <w:lang w:val="en-US" w:eastAsia="zh-CN"/>
              </w:rPr>
            </w:pPr>
            <w:r>
              <w:rPr>
                <w:rFonts w:hint="eastAsia"/>
                <w:color w:val="auto"/>
                <w:sz w:val="24"/>
                <w:szCs w:val="24"/>
                <w:highlight w:val="none"/>
                <w:vertAlign w:val="baseline"/>
                <w:lang w:val="en-US" w:eastAsia="zh-CN"/>
              </w:rPr>
              <w:t>11件</w:t>
            </w:r>
          </w:p>
        </w:tc>
        <w:tc>
          <w:tcPr>
            <w:tcW w:w="5392"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其中5套用于现有设备，6套用于新增设备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74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1318"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工控机</w:t>
            </w:r>
          </w:p>
        </w:tc>
        <w:tc>
          <w:tcPr>
            <w:tcW w:w="844"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11件</w:t>
            </w:r>
          </w:p>
        </w:tc>
        <w:tc>
          <w:tcPr>
            <w:tcW w:w="5392" w:type="dxa"/>
          </w:tcPr>
          <w:p>
            <w:pPr>
              <w:pStyle w:val="2"/>
              <w:rPr>
                <w:rFonts w:hint="eastAsia"/>
                <w:color w:val="auto"/>
                <w:sz w:val="24"/>
                <w:szCs w:val="24"/>
                <w:vertAlign w:val="baseline"/>
                <w:lang w:val="en-US" w:eastAsia="zh-CN"/>
              </w:rPr>
            </w:pPr>
            <w:r>
              <w:rPr>
                <w:rFonts w:hint="eastAsia"/>
                <w:color w:val="auto"/>
                <w:sz w:val="24"/>
                <w:szCs w:val="24"/>
                <w:vertAlign w:val="baseline"/>
                <w:lang w:val="en-US" w:eastAsia="zh-CN"/>
              </w:rPr>
              <w:t>其中5套用于现有设备，6套用于新增设备</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（四）</w:t>
      </w:r>
      <w:r>
        <w:rPr>
          <w:rFonts w:hint="eastAsia" w:ascii="宋体" w:hAnsi="宋体" w:eastAsia="宋体" w:cs="宋体"/>
          <w:color w:val="auto"/>
          <w:sz w:val="24"/>
          <w:szCs w:val="24"/>
          <w:lang w:val="en-US" w:eastAsia="zh-CN"/>
        </w:rPr>
        <w:t>配置要求</w:t>
      </w:r>
    </w:p>
    <w:tbl>
      <w:tblPr>
        <w:tblStyle w:val="17"/>
        <w:tblW w:w="8240"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228"/>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3228" w:type="dxa"/>
          </w:tcPr>
          <w:p>
            <w:pPr>
              <w:pStyle w:val="2"/>
              <w:rPr>
                <w:rFonts w:hint="default"/>
                <w:b/>
                <w:bCs/>
                <w:color w:val="auto"/>
                <w:sz w:val="24"/>
                <w:szCs w:val="24"/>
                <w:vertAlign w:val="baseline"/>
                <w:lang w:val="en-US" w:eastAsia="zh-CN"/>
              </w:rPr>
            </w:pPr>
            <w:r>
              <w:rPr>
                <w:rFonts w:hint="eastAsia"/>
                <w:b/>
                <w:bCs/>
                <w:color w:val="auto"/>
                <w:sz w:val="24"/>
                <w:szCs w:val="24"/>
                <w:vertAlign w:val="baseline"/>
                <w:lang w:val="en-US" w:eastAsia="zh-CN"/>
              </w:rPr>
              <w:t>名称</w:t>
            </w:r>
          </w:p>
        </w:tc>
        <w:tc>
          <w:tcPr>
            <w:tcW w:w="4201" w:type="dxa"/>
          </w:tcPr>
          <w:p>
            <w:pPr>
              <w:pStyle w:val="2"/>
              <w:rPr>
                <w:rFonts w:hint="default"/>
                <w:b/>
                <w:bCs/>
                <w:color w:val="auto"/>
                <w:sz w:val="24"/>
                <w:szCs w:val="24"/>
                <w:vertAlign w:val="baseline"/>
                <w:lang w:val="en-US" w:eastAsia="zh-CN"/>
              </w:rPr>
            </w:pPr>
            <w:r>
              <w:rPr>
                <w:rFonts w:hint="eastAsia"/>
                <w:b/>
                <w:bCs/>
                <w:color w:val="auto"/>
                <w:sz w:val="24"/>
                <w:szCs w:val="24"/>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1</w:t>
            </w:r>
          </w:p>
        </w:tc>
        <w:tc>
          <w:tcPr>
            <w:tcW w:w="3228"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工控机</w:t>
            </w:r>
          </w:p>
        </w:tc>
        <w:tc>
          <w:tcPr>
            <w:tcW w:w="4201"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研华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2</w:t>
            </w:r>
          </w:p>
        </w:tc>
        <w:tc>
          <w:tcPr>
            <w:tcW w:w="3228"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电器元件</w:t>
            </w:r>
          </w:p>
        </w:tc>
        <w:tc>
          <w:tcPr>
            <w:tcW w:w="4201"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施耐德、西门子、欧姆龙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3</w:t>
            </w:r>
          </w:p>
        </w:tc>
        <w:tc>
          <w:tcPr>
            <w:tcW w:w="3228"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拧紧电枪</w:t>
            </w:r>
          </w:p>
        </w:tc>
        <w:tc>
          <w:tcPr>
            <w:tcW w:w="4201"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进口知名品牌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1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4</w:t>
            </w:r>
          </w:p>
        </w:tc>
        <w:tc>
          <w:tcPr>
            <w:tcW w:w="3228"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扫描枪</w:t>
            </w:r>
          </w:p>
        </w:tc>
        <w:tc>
          <w:tcPr>
            <w:tcW w:w="4201" w:type="dxa"/>
          </w:tcPr>
          <w:p>
            <w:pPr>
              <w:pStyle w:val="2"/>
              <w:rPr>
                <w:rFonts w:hint="default"/>
                <w:color w:val="auto"/>
                <w:sz w:val="24"/>
                <w:szCs w:val="24"/>
                <w:lang w:val="en-US" w:eastAsia="zh-CN"/>
              </w:rPr>
            </w:pPr>
            <w:r>
              <w:rPr>
                <w:rFonts w:hint="eastAsia"/>
                <w:color w:val="auto"/>
                <w:sz w:val="24"/>
                <w:szCs w:val="24"/>
                <w:lang w:val="en-US" w:eastAsia="zh-CN"/>
              </w:rPr>
              <w:t>斑马、Dgatlogic等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11" w:type="dxa"/>
          </w:tcPr>
          <w:p>
            <w:pPr>
              <w:pStyle w:val="2"/>
              <w:jc w:val="center"/>
              <w:rPr>
                <w:rFonts w:hint="default"/>
                <w:color w:val="auto"/>
                <w:sz w:val="24"/>
                <w:szCs w:val="24"/>
                <w:vertAlign w:val="baseline"/>
                <w:lang w:val="en-US" w:eastAsia="zh-CN"/>
              </w:rPr>
            </w:pPr>
            <w:r>
              <w:rPr>
                <w:rFonts w:hint="eastAsia"/>
                <w:color w:val="auto"/>
                <w:sz w:val="24"/>
                <w:szCs w:val="24"/>
                <w:vertAlign w:val="baseline"/>
                <w:lang w:val="en-US" w:eastAsia="zh-CN"/>
              </w:rPr>
              <w:t>5</w:t>
            </w:r>
          </w:p>
        </w:tc>
        <w:tc>
          <w:tcPr>
            <w:tcW w:w="3228"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套筒</w:t>
            </w:r>
          </w:p>
        </w:tc>
        <w:tc>
          <w:tcPr>
            <w:tcW w:w="4201" w:type="dxa"/>
          </w:tcPr>
          <w:p>
            <w:pPr>
              <w:pStyle w:val="2"/>
              <w:rPr>
                <w:rFonts w:hint="default"/>
                <w:color w:val="auto"/>
                <w:sz w:val="24"/>
                <w:szCs w:val="24"/>
                <w:vertAlign w:val="baseline"/>
                <w:lang w:val="en-US" w:eastAsia="zh-CN"/>
              </w:rPr>
            </w:pPr>
            <w:r>
              <w:rPr>
                <w:rFonts w:hint="eastAsia"/>
                <w:color w:val="auto"/>
                <w:sz w:val="24"/>
                <w:szCs w:val="24"/>
                <w:vertAlign w:val="baseline"/>
                <w:lang w:val="en-US" w:eastAsia="zh-CN"/>
              </w:rPr>
              <w:t>标准套筒</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（五）</w:t>
      </w:r>
      <w:r>
        <w:rPr>
          <w:rFonts w:hint="eastAsia" w:ascii="宋体" w:hAnsi="宋体" w:eastAsia="宋体" w:cs="宋体"/>
          <w:color w:val="auto"/>
          <w:sz w:val="24"/>
          <w:szCs w:val="24"/>
          <w:lang w:eastAsia="zh-CN"/>
        </w:rPr>
        <w:t>安装方式</w:t>
      </w:r>
    </w:p>
    <w:p>
      <w:pPr>
        <w:pStyle w:val="2"/>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采用6台</w:t>
      </w:r>
      <w:r>
        <w:rPr>
          <w:rFonts w:hint="eastAsia" w:ascii="宋体" w:hAnsi="宋体" w:eastAsia="宋体" w:cs="宋体"/>
          <w:color w:val="auto"/>
          <w:sz w:val="24"/>
          <w:szCs w:val="24"/>
          <w:lang w:val="en-US" w:eastAsia="zh-CN"/>
        </w:rPr>
        <w:t>移动</w:t>
      </w:r>
      <w:r>
        <w:rPr>
          <w:rFonts w:hint="eastAsia" w:ascii="宋体" w:hAnsi="宋体" w:eastAsia="宋体" w:cs="宋体"/>
          <w:color w:val="auto"/>
          <w:sz w:val="24"/>
          <w:szCs w:val="24"/>
          <w:lang w:val="en-US" w:eastAsia="zh-CN"/>
        </w:rPr>
        <w:t>小车集成安装以上设备，小车上</w:t>
      </w:r>
      <w:r>
        <w:rPr>
          <w:rFonts w:hint="eastAsia" w:ascii="宋体" w:hAnsi="宋体" w:eastAsia="宋体" w:cs="宋体"/>
          <w:color w:val="auto"/>
          <w:sz w:val="24"/>
          <w:lang w:val="en-US" w:eastAsia="zh-CN"/>
        </w:rPr>
        <w:t>有存储空间</w:t>
      </w:r>
      <w:r>
        <w:rPr>
          <w:rFonts w:hint="eastAsia" w:ascii="宋体" w:hAnsi="宋体" w:eastAsia="宋体" w:cs="宋体"/>
          <w:color w:val="auto"/>
          <w:sz w:val="24"/>
          <w:szCs w:val="24"/>
          <w:lang w:val="en-US" w:eastAsia="zh-CN"/>
        </w:rPr>
        <w:t>存放以下设备，</w:t>
      </w:r>
      <w:r>
        <w:rPr>
          <w:rFonts w:hint="eastAsia" w:ascii="宋体" w:hAnsi="宋体" w:eastAsia="宋体" w:cs="宋体"/>
          <w:color w:val="auto"/>
          <w:sz w:val="24"/>
          <w:lang w:val="en-US" w:eastAsia="zh-CN"/>
        </w:rPr>
        <w:t>并且具有防盗功能。</w:t>
      </w:r>
    </w:p>
    <w:tbl>
      <w:tblPr>
        <w:tblStyle w:val="17"/>
        <w:tblW w:w="8048"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287"/>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rPr>
              <w:t>序号</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设备名称</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4"/>
              </w:rPr>
              <w:t xml:space="preserve"> </w:t>
            </w:r>
            <w:r>
              <w:rPr>
                <w:rFonts w:hint="eastAsia" w:ascii="宋体" w:hAnsi="宋体"/>
                <w:color w:val="auto"/>
                <w:sz w:val="24"/>
                <w:lang w:eastAsia="zh-CN"/>
              </w:rPr>
              <w:t>充电定扭扳手</w:t>
            </w:r>
            <w:r>
              <w:rPr>
                <w:rFonts w:hint="eastAsia" w:ascii="宋体" w:hAnsi="宋体" w:eastAsia="宋体" w:cs="宋体"/>
                <w:color w:val="auto"/>
                <w:sz w:val="24"/>
                <w:lang w:eastAsia="zh-CN"/>
              </w:rPr>
              <w:t>（直柄弯头式）</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ascii="宋体" w:hAnsi="宋体" w:eastAsia="宋体" w:cs="宋体"/>
                <w:color w:val="auto"/>
                <w:sz w:val="22"/>
                <w:szCs w:val="22"/>
              </w:rPr>
            </w:pPr>
            <w:r>
              <w:rPr>
                <w:rFonts w:hint="eastAsia" w:ascii="宋体" w:hAnsi="宋体" w:eastAsia="宋体" w:cs="宋体"/>
                <w:color w:val="auto"/>
                <w:sz w:val="22"/>
                <w:szCs w:val="22"/>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4"/>
                <w:lang w:val="en-US" w:eastAsia="zh-CN"/>
              </w:rPr>
              <w:t>拧紧控制器</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充电电池</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充电座</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color w:val="auto"/>
                <w:sz w:val="24"/>
                <w:szCs w:val="24"/>
                <w:vertAlign w:val="baseline"/>
                <w:lang w:val="en-US" w:eastAsia="zh-CN"/>
              </w:rPr>
              <w:t>扫码枪</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工控机</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765"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套筒</w:t>
            </w:r>
          </w:p>
        </w:tc>
        <w:tc>
          <w:tcPr>
            <w:tcW w:w="3996" w:type="dxa"/>
            <w:vAlign w:val="top"/>
          </w:tcPr>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6件</w:t>
            </w:r>
          </w:p>
          <w:p>
            <w:pPr>
              <w:keepNext w:val="0"/>
              <w:keepLines w:val="0"/>
              <w:pageBreakBefore w:val="0"/>
              <w:widowControl w:val="0"/>
              <w:kinsoku/>
              <w:wordWrap/>
              <w:overflowPunct/>
              <w:topLinePunct w:val="0"/>
              <w:autoSpaceDE/>
              <w:autoSpaceDN/>
              <w:bidi w:val="0"/>
              <w:adjustRightInd/>
              <w:snapToGrid/>
              <w:spacing w:after="160" w:line="440" w:lineRule="exact"/>
              <w:ind w:right="0" w:rightChars="0"/>
              <w:jc w:val="center"/>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（每套定扭扳手配3个标准套筒）</w:t>
            </w:r>
          </w:p>
        </w:tc>
      </w:tr>
    </w:tbl>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lang w:eastAsia="zh-CN"/>
        </w:rPr>
      </w:pPr>
      <w:r>
        <w:rPr>
          <w:rFonts w:hint="eastAsia" w:ascii="华文中宋" w:hAnsi="华文中宋" w:eastAsia="华文中宋" w:cs="华文中宋"/>
          <w:color w:val="auto"/>
          <w:sz w:val="28"/>
          <w:szCs w:val="28"/>
          <w:lang w:eastAsia="zh-CN"/>
        </w:rPr>
        <w:t>设备通用功能要求</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rPr>
        <w:t>拧紧电枪精度要求：扭矩测量精度≦3%，角度测量精度≦</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rPr>
        <w:t>拧紧电枪可靠性要求：拧紧1</w:t>
      </w:r>
      <w:r>
        <w:rPr>
          <w:rFonts w:hint="eastAsia" w:ascii="宋体" w:hAnsi="宋体" w:eastAsia="宋体" w:cs="宋体"/>
          <w:color w:val="auto"/>
          <w:sz w:val="24"/>
          <w:lang w:val="en-US" w:eastAsia="zh-CN"/>
        </w:rPr>
        <w:t>00</w:t>
      </w:r>
      <w:r>
        <w:rPr>
          <w:rFonts w:hint="eastAsia" w:ascii="宋体" w:hAnsi="宋体" w:eastAsia="宋体" w:cs="宋体"/>
          <w:color w:val="auto"/>
          <w:sz w:val="24"/>
        </w:rPr>
        <w:t>万次不失精度。</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拧紧电枪轻便</w:t>
      </w:r>
      <w:r>
        <w:rPr>
          <w:rFonts w:hint="eastAsia" w:ascii="宋体" w:hAnsi="宋体" w:eastAsia="宋体" w:cs="宋体"/>
          <w:color w:val="auto"/>
          <w:sz w:val="24"/>
          <w:lang w:val="en-US" w:eastAsia="zh-CN"/>
        </w:rPr>
        <w:t>，单台车</w:t>
      </w:r>
      <w:r>
        <w:rPr>
          <w:rFonts w:hint="eastAsia" w:ascii="宋体" w:hAnsi="宋体" w:eastAsia="宋体" w:cs="宋体"/>
          <w:color w:val="auto"/>
          <w:sz w:val="24"/>
          <w:lang w:eastAsia="zh-CN"/>
        </w:rPr>
        <w:t>拧紧时间小于</w:t>
      </w:r>
      <w:r>
        <w:rPr>
          <w:rFonts w:hint="eastAsia" w:ascii="宋体" w:hAnsi="宋体" w:eastAsia="宋体" w:cs="宋体"/>
          <w:color w:val="auto"/>
          <w:sz w:val="24"/>
          <w:lang w:val="en-US" w:eastAsia="zh-CN"/>
        </w:rPr>
        <w:t>8分钟。</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rPr>
        <w:t>拧紧电枪可以实现以下控制方式：扭矩控制、扭矩控制+角度监控、角度控制+扭矩监控，并且控制方式可以随时切换。</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拧紧电枪具有正、反转功能，具有点动功能。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拧紧电枪具有自动认帽功能，拧紧结束能自动卸荷，方便工具退出。</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拧紧电枪具有多颜色指示灯，能够区别拧紧合格、不合格、设备故障等不同状态。</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拧紧电枪具有报警功能，出现拧紧不合格、错漏拧、重复拧紧、系统故障等能立即停机并报警。</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拧紧控制器都具有拧紧数据显示功能，能够即时显示拧紧信息，合格拧紧后，拧紧枪具有反馈功能。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拧紧电枪所采用套筒必须是标准件。</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要求设备具有自检功能。每次拧紧之前能够自动检测系统故障，并诊断显示故障代码，以便及时排除故障，拧紧过程中若出现故障，能够立即停机警报，并诊断故障。每次拧紧之前能够自动校正对零。</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设备具有抗干扰措施。具有可靠的漏电保护装置，具有过流、过压、过速、过扭矩保护功能。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控制器能够对无线工具及附件组网。</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控制器应满足所有设备正常使用，要求通讯稳定，安全可靠。</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拧紧控制器具有操作者、管理者密码设定及保护功能。</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要求拧紧控制器能记录、存储每次拧紧时的拧紧力矩、拧紧角度信息，存储信息超过10000组，并能通过网络接口导出数据信息。</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拧紧控制器具有以太网接口，可以监控各个拧紧电枪的工作状态，可以对各个拧紧电枪进行编程，可以收集存储各个拧紧电枪的拧紧数据，并显示每次拧紧的拧紧曲线。</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拧紧程序按不同的作业场景编制，需符合我司工艺要求。设备拧紧工艺参数可编程，具有上、下限扭矩设定功能，可设定初始扭矩值、目标扭矩值、目标角度值，可设定多步拧紧程序。可预存 500种以上的拧紧控制程序。</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拧紧电枪可通过扫描枪扫描条形码记录生产车号、生产时间、零部件代码。可通过扫描枪读取的信息自动设定拧紧程序，也可以手动输入拧紧程序。</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lang w:eastAsia="zh-CN"/>
        </w:rPr>
        <w:t>拧紧</w:t>
      </w:r>
      <w:r>
        <w:rPr>
          <w:rFonts w:hint="eastAsia" w:ascii="宋体" w:hAnsi="宋体" w:eastAsia="宋体" w:cs="宋体"/>
          <w:color w:val="auto"/>
          <w:sz w:val="24"/>
          <w:highlight w:val="none"/>
        </w:rPr>
        <w:t>电枪</w:t>
      </w:r>
      <w:r>
        <w:rPr>
          <w:rFonts w:hint="eastAsia" w:ascii="宋体" w:hAnsi="宋体" w:eastAsia="宋体" w:cs="宋体"/>
          <w:color w:val="auto"/>
          <w:sz w:val="24"/>
          <w:highlight w:val="none"/>
          <w:lang w:eastAsia="zh-CN"/>
        </w:rPr>
        <w:t>与拧紧控制器</w:t>
      </w:r>
      <w:r>
        <w:rPr>
          <w:rFonts w:hint="eastAsia" w:ascii="宋体" w:hAnsi="宋体" w:eastAsia="宋体" w:cs="宋体"/>
          <w:color w:val="auto"/>
          <w:sz w:val="24"/>
          <w:highlight w:val="none"/>
        </w:rPr>
        <w:t>可以</w:t>
      </w:r>
      <w:r>
        <w:rPr>
          <w:rFonts w:hint="eastAsia" w:ascii="宋体" w:hAnsi="宋体" w:eastAsia="宋体" w:cs="宋体"/>
          <w:color w:val="auto"/>
          <w:sz w:val="24"/>
          <w:highlight w:val="none"/>
          <w:lang w:eastAsia="zh-CN"/>
        </w:rPr>
        <w:t>无线</w:t>
      </w:r>
      <w:r>
        <w:rPr>
          <w:rFonts w:hint="eastAsia" w:ascii="宋体" w:hAnsi="宋体" w:eastAsia="宋体" w:cs="宋体"/>
          <w:color w:val="auto"/>
          <w:sz w:val="24"/>
          <w:highlight w:val="none"/>
        </w:rPr>
        <w:t>传输</w:t>
      </w:r>
      <w:r>
        <w:rPr>
          <w:rFonts w:hint="eastAsia" w:ascii="宋体" w:hAnsi="宋体" w:eastAsia="宋体" w:cs="宋体"/>
          <w:color w:val="auto"/>
          <w:sz w:val="24"/>
          <w:highlight w:val="none"/>
          <w:lang w:eastAsia="zh-CN"/>
        </w:rPr>
        <w:t>数据</w:t>
      </w:r>
      <w:r>
        <w:rPr>
          <w:rFonts w:hint="eastAsia" w:ascii="宋体" w:hAnsi="宋体" w:eastAsia="宋体" w:cs="宋体"/>
          <w:color w:val="auto"/>
          <w:sz w:val="24"/>
          <w:highlight w:val="none"/>
        </w:rPr>
        <w:t>，</w:t>
      </w:r>
      <w:bookmarkStart w:id="0" w:name="_GoBack"/>
      <w:r>
        <w:rPr>
          <w:rFonts w:hint="eastAsia" w:ascii="宋体" w:hAnsi="宋体" w:eastAsia="宋体" w:cs="宋体"/>
          <w:color w:val="auto"/>
          <w:sz w:val="24"/>
          <w:highlight w:val="none"/>
        </w:rPr>
        <w:t>要求</w:t>
      </w:r>
      <w:bookmarkEnd w:id="0"/>
      <w:r>
        <w:rPr>
          <w:rFonts w:hint="eastAsia" w:ascii="宋体" w:hAnsi="宋体" w:eastAsia="宋体" w:cs="宋体"/>
          <w:color w:val="auto"/>
          <w:sz w:val="24"/>
          <w:highlight w:val="none"/>
        </w:rPr>
        <w:t>传输距离大于50米，拧紧</w:t>
      </w:r>
      <w:r>
        <w:rPr>
          <w:rFonts w:hint="eastAsia" w:ascii="宋体" w:hAnsi="宋体" w:eastAsia="宋体" w:cs="宋体"/>
          <w:color w:val="auto"/>
          <w:sz w:val="24"/>
          <w:highlight w:val="none"/>
          <w:lang w:eastAsia="zh-CN"/>
        </w:rPr>
        <w:t>电枪</w:t>
      </w:r>
      <w:r>
        <w:rPr>
          <w:rFonts w:hint="eastAsia" w:ascii="宋体" w:hAnsi="宋体" w:eastAsia="宋体" w:cs="宋体"/>
          <w:color w:val="auto"/>
          <w:sz w:val="24"/>
          <w:highlight w:val="none"/>
        </w:rPr>
        <w:t>上应有相关指示灯，表明拧紧</w:t>
      </w:r>
      <w:r>
        <w:rPr>
          <w:rFonts w:hint="eastAsia" w:ascii="宋体" w:hAnsi="宋体" w:eastAsia="宋体" w:cs="宋体"/>
          <w:color w:val="auto"/>
          <w:sz w:val="24"/>
          <w:highlight w:val="none"/>
          <w:lang w:eastAsia="zh-CN"/>
        </w:rPr>
        <w:t>电枪</w:t>
      </w:r>
      <w:r>
        <w:rPr>
          <w:rFonts w:hint="eastAsia" w:ascii="宋体" w:hAnsi="宋体" w:eastAsia="宋体" w:cs="宋体"/>
          <w:color w:val="auto"/>
          <w:sz w:val="24"/>
          <w:highlight w:val="none"/>
        </w:rPr>
        <w:t>在有效传输范围内。</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要求拧紧电枪能够输出每次拧紧时的拧紧曲线，包含动态扭矩/时间曲线，扭矩/角度曲线。</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拧紧电枪应具备数据保存功能，在电枪和拧紧控制器无法通讯时，能够存储拧紧信息，并且在电枪与拧紧控制器恢复正常通讯后，能够自动将已保存的拧紧信息上传至MES系统。</w:t>
      </w:r>
    </w:p>
    <w:p>
      <w:pPr>
        <w:keepNext w:val="0"/>
        <w:keepLines w:val="0"/>
        <w:pageBreakBefore w:val="0"/>
        <w:widowControl w:val="0"/>
        <w:numPr>
          <w:ilvl w:val="0"/>
          <w:numId w:val="9"/>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电枪使用的电池应可更换。电池单次充满电时间不应超过3小时，单次充满电后，电枪应能拧紧螺栓超过1000次。电池使用寿命不低于3年。</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default" w:ascii="华文中宋" w:hAnsi="华文中宋" w:eastAsia="华文中宋" w:cs="华文中宋"/>
          <w:color w:val="auto"/>
          <w:sz w:val="28"/>
          <w:szCs w:val="28"/>
          <w:lang w:val="en-US" w:eastAsia="zh-CN"/>
        </w:rPr>
      </w:pPr>
      <w:r>
        <w:rPr>
          <w:rFonts w:hint="eastAsia" w:ascii="华文中宋" w:hAnsi="华文中宋" w:eastAsia="华文中宋" w:cs="华文中宋"/>
          <w:color w:val="auto"/>
          <w:sz w:val="28"/>
          <w:szCs w:val="28"/>
          <w:lang w:val="en-US" w:eastAsia="zh-CN"/>
        </w:rPr>
        <w:t>扭矩防错系统功能要求</w:t>
      </w:r>
    </w:p>
    <w:p>
      <w:pPr>
        <w:keepNext w:val="0"/>
        <w:keepLines w:val="0"/>
        <w:pageBreakBefore w:val="0"/>
        <w:widowControl w:val="0"/>
        <w:numPr>
          <w:ilvl w:val="0"/>
          <w:numId w:val="1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系统架构</w:t>
      </w:r>
    </w:p>
    <w:p>
      <w:pPr>
        <w:pStyle w:val="2"/>
        <w:numPr>
          <w:ilvl w:val="0"/>
          <w:numId w:val="0"/>
        </w:numPr>
        <w:jc w:val="center"/>
        <w:rPr>
          <w:rFonts w:ascii="宋体" w:hAnsi="宋体" w:eastAsia="宋体"/>
          <w:color w:val="auto"/>
        </w:rPr>
      </w:pPr>
      <w:r>
        <w:rPr>
          <w:rFonts w:ascii="宋体" w:hAnsi="宋体" w:eastAsia="宋体"/>
          <w:color w:val="auto"/>
        </w:rPr>
        <w:drawing>
          <wp:inline distT="0" distB="0" distL="0" distR="0">
            <wp:extent cx="4716145" cy="2877185"/>
            <wp:effectExtent l="0" t="0" r="8255" b="18415"/>
            <wp:docPr id="355939962"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39962" name="Picture 1" descr="A diagram of a computer network&#10;&#10;AI-generated content may be incorrect."/>
                    <pic:cNvPicPr>
                      <a:picLocks noChangeAspect="1"/>
                    </pic:cNvPicPr>
                  </pic:nvPicPr>
                  <pic:blipFill>
                    <a:blip r:embed="rId6"/>
                    <a:stretch>
                      <a:fillRect/>
                    </a:stretch>
                  </pic:blipFill>
                  <pic:spPr>
                    <a:xfrm>
                      <a:off x="0" y="0"/>
                      <a:ext cx="4716145" cy="2877185"/>
                    </a:xfrm>
                    <a:prstGeom prst="rect">
                      <a:avLst/>
                    </a:prstGeom>
                  </pic:spPr>
                </pic:pic>
              </a:graphicData>
            </a:graphic>
          </wp:inline>
        </w:drawing>
      </w:r>
    </w:p>
    <w:p>
      <w:pPr>
        <w:pStyle w:val="2"/>
        <w:rPr>
          <w:rFonts w:hint="eastAsia"/>
          <w:color w:val="auto"/>
          <w:lang w:val="en-US" w:eastAsia="zh-CN"/>
        </w:rPr>
      </w:pPr>
    </w:p>
    <w:p>
      <w:pPr>
        <w:keepNext w:val="0"/>
        <w:keepLines w:val="0"/>
        <w:pageBreakBefore w:val="0"/>
        <w:widowControl w:val="0"/>
        <w:numPr>
          <w:ilvl w:val="0"/>
          <w:numId w:val="1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系统功能需求</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highlight w:val="none"/>
          <w:lang w:eastAsia="zh-CN"/>
        </w:rPr>
        <w:t>供方需</w:t>
      </w:r>
      <w:r>
        <w:rPr>
          <w:rFonts w:hint="eastAsia" w:ascii="宋体" w:hAnsi="宋体" w:eastAsia="宋体" w:cs="宋体"/>
          <w:color w:val="auto"/>
          <w:sz w:val="24"/>
          <w:highlight w:val="none"/>
          <w:lang w:val="en-US" w:eastAsia="zh-CN"/>
        </w:rPr>
        <w:t>配合我司软件工程师进行MES开发。</w:t>
      </w:r>
    </w:p>
    <w:p>
      <w:pPr>
        <w:keepNext w:val="0"/>
        <w:keepLines w:val="0"/>
        <w:pageBreakBefore w:val="0"/>
        <w:widowControl w:val="0"/>
        <w:numPr>
          <w:ilvl w:val="0"/>
          <w:numId w:val="11"/>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系统需覆盖现有底盘车间5套拧紧电枪。</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color w:val="auto"/>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扭矩防错系统与MES系统连接（使用</w:t>
      </w:r>
      <w:r>
        <w:rPr>
          <w:rFonts w:hint="eastAsia" w:ascii="宋体" w:hAnsi="宋体" w:eastAsia="宋体" w:cs="宋体"/>
          <w:color w:val="auto"/>
          <w:sz w:val="24"/>
          <w:lang w:val="en-US" w:eastAsia="zh-CN"/>
        </w:rPr>
        <w:t>web api方式</w:t>
      </w:r>
      <w:r>
        <w:rPr>
          <w:rFonts w:hint="eastAsia" w:ascii="宋体" w:hAnsi="宋体" w:eastAsia="宋体" w:cs="宋体"/>
          <w:color w:val="auto"/>
          <w:sz w:val="24"/>
          <w:lang w:eastAsia="zh-CN"/>
        </w:rPr>
        <w:t>），从</w:t>
      </w:r>
      <w:r>
        <w:rPr>
          <w:rFonts w:hint="eastAsia" w:ascii="宋体" w:hAnsi="宋体" w:eastAsia="宋体" w:cs="宋体"/>
          <w:color w:val="auto"/>
          <w:sz w:val="24"/>
          <w:lang w:val="en-US" w:eastAsia="zh-CN"/>
        </w:rPr>
        <w:t>MES</w:t>
      </w:r>
      <w:r>
        <w:rPr>
          <w:rFonts w:hint="eastAsia" w:ascii="宋体" w:hAnsi="宋体" w:eastAsia="宋体" w:cs="宋体"/>
          <w:color w:val="auto"/>
          <w:sz w:val="24"/>
          <w:lang w:eastAsia="zh-CN"/>
        </w:rPr>
        <w:t>系统获取每台生产车辆的拧紧工艺参数，向MES系统发送车辆的拧紧结果数据</w:t>
      </w:r>
      <w:r>
        <w:rPr>
          <w:rFonts w:hint="eastAsia" w:ascii="宋体" w:hAnsi="宋体" w:eastAsia="宋体" w:cs="宋体"/>
          <w:color w:val="auto"/>
          <w:sz w:val="24"/>
          <w:lang w:val="en-US" w:eastAsia="zh-CN"/>
        </w:rPr>
        <w:t>（拧紧车号、工序、拧紧时间、扭矩值、角度值、合格判定、设备编号）。</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（4）系统有中文管理界面，可以统一管理配置工位客户端的工位、工具、用户的信息，提供配置拧紧工艺的功能。</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（5）工位客户端可向操作工展示当前作业信息，包含工位名称、产品条码、工具状态、MES系统连接状态、用户登录状态、螺栓拧紧进度、拧紧结果数据。可查看简单的系统日志信息。</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扭矩系统需要支持便捷的工艺添加或者工艺变更。项目交付后，当甲方有新车型工艺添加或者工艺变更时，甲方人员无需有任何编程经验就可以完成工艺添加或变更。工艺参数必须支持不同产品类型。</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（7）扭矩防错系统支持用户及权限管理策略，可给不同的用户分配不同的角色用来控制操作及配置。普通用户：仅进行拧紧作业操作，不可进行设置。管理员用户：可进行工位设置，异常授权确认等操作。</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（8）当有外部系统支持线体追踪时，扭矩防错系统支持与外部系统进行接口对接，实现接收车辆推送并自动进站启动任务。供应商支持针对外部系统接口进行额外的定制开发。</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扭矩防错系统对拧紧工具的使能进行控制。可通过密码实现</w:t>
      </w:r>
      <w:r>
        <w:rPr>
          <w:rFonts w:hint="eastAsia"/>
          <w:color w:val="auto"/>
          <w:sz w:val="24"/>
          <w:szCs w:val="24"/>
          <w:lang w:val="en-US" w:eastAsia="zh-CN"/>
        </w:rPr>
        <w:t>在线模式与离线模式切换。在线模式状态下，</w:t>
      </w:r>
      <w:r>
        <w:rPr>
          <w:rFonts w:hint="eastAsia" w:ascii="宋体" w:hAnsi="宋体" w:eastAsia="宋体" w:cs="宋体"/>
          <w:color w:val="auto"/>
          <w:sz w:val="24"/>
          <w:lang w:val="en-US" w:eastAsia="zh-CN"/>
        </w:rPr>
        <w:t>只有车辆到位并在正确的装配步骤时，工具才有相应的拧紧任务，工具才能够进行拧紧，否则不允许工具转动。离线模式状态下可手动按需选择。</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（10）扭矩防错系统支持配合套筒选择器一起使用，从而达到多重防错互锁。现场关键工序工位配备有套筒选择器，系统需支持双重保障功能。</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每个小车配置一把无线扫码枪，用于扫描车辆条码，激活相应任务。 把工艺包下发至控制器，并可实现按套筒规格匹配不同扭矩，满足同一工位多种扭矩参数的作业要求。</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当工位工控屏与MES系统网络通信出现故障时，需要支持通过扫码手动选取相应的拧紧程序，继续作业，不能影响现场生产。拧紧数据在网络恢复后能补传至MES系统。</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扭矩防错系统需要支持任务中断保存并恢复任务的功能，提供操作流程。在操作员正确操作的情况下，能够保存任务现场并恢复。</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（14）</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扭矩防错系统需要有防止误扫码的功能。针对误扫码（如作业中误扫其他车辆条码），能够及时提醒并防止进一步可能得拧紧错误。</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（15）</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扭矩防错系统需要能够支持如下两种工艺接收方式中的任意一种：</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480" w:firstLineChars="200"/>
        <w:jc w:val="left"/>
        <w:textAlignment w:val="auto"/>
        <w:outlineLvl w:val="9"/>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①</w:t>
      </w:r>
      <w:r>
        <w:rPr>
          <w:rFonts w:hint="eastAsia" w:ascii="宋体" w:hAnsi="宋体" w:eastAsia="宋体" w:cs="宋体"/>
          <w:color w:val="auto"/>
          <w:sz w:val="24"/>
          <w:lang w:val="en-US" w:eastAsia="zh-CN"/>
        </w:rPr>
        <w:t>从MES系统直接接收工艺参数，按照工艺参数执行拧紧任务</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right="0" w:rightChars="0" w:firstLine="480" w:firstLineChars="200"/>
        <w:jc w:val="left"/>
        <w:textAlignment w:val="auto"/>
        <w:outlineLvl w:val="9"/>
        <w:rPr>
          <w:rFonts w:hint="eastAsia" w:ascii="宋体" w:hAnsi="宋体" w:eastAsia="宋体" w:cs="宋体"/>
          <w:color w:val="auto"/>
          <w:sz w:val="24"/>
          <w:lang w:val="en-US" w:eastAsia="zh-CN"/>
        </w:rPr>
      </w:pPr>
      <w:r>
        <w:rPr>
          <w:rFonts w:hint="default" w:ascii="宋体" w:hAnsi="宋体" w:eastAsia="宋体" w:cs="宋体"/>
          <w:color w:val="auto"/>
          <w:sz w:val="24"/>
          <w:lang w:val="en-US" w:eastAsia="zh-CN"/>
        </w:rPr>
        <w:t>②</w:t>
      </w:r>
      <w:r>
        <w:rPr>
          <w:rFonts w:hint="eastAsia" w:ascii="宋体" w:hAnsi="宋体" w:eastAsia="宋体" w:cs="宋体"/>
          <w:color w:val="auto"/>
          <w:sz w:val="24"/>
          <w:lang w:val="en-US" w:eastAsia="zh-CN"/>
        </w:rPr>
        <w:t>接收车型信息，调取本地提前配置的工艺参数执行拧紧任务</w:t>
      </w:r>
    </w:p>
    <w:p>
      <w:pPr>
        <w:keepNext w:val="0"/>
        <w:keepLines w:val="0"/>
        <w:pageBreakBefore w:val="0"/>
        <w:widowControl w:val="0"/>
        <w:numPr>
          <w:ilvl w:val="0"/>
          <w:numId w:val="0"/>
        </w:numPr>
        <w:kinsoku/>
        <w:wordWrap/>
        <w:overflowPunct/>
        <w:topLinePunct w:val="0"/>
        <w:autoSpaceDE/>
        <w:autoSpaceDN/>
        <w:bidi w:val="0"/>
        <w:adjustRightInd/>
        <w:snapToGrid/>
        <w:spacing w:after="160" w:line="440" w:lineRule="exact"/>
        <w:ind w:left="420" w:leftChars="0" w:right="0" w:rightChars="0"/>
        <w:jc w:val="left"/>
        <w:textAlignment w:val="auto"/>
        <w:outlineLvl w:val="9"/>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（16）</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val="en-US" w:eastAsia="zh-CN"/>
        </w:rPr>
        <w:t>系统为免费永久授权。授权范围为本项目设备。</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rPr>
      </w:pPr>
      <w:r>
        <w:rPr>
          <w:rFonts w:hint="eastAsia" w:ascii="华文中宋" w:hAnsi="华文中宋" w:eastAsia="华文中宋" w:cs="华文中宋"/>
          <w:color w:val="auto"/>
          <w:sz w:val="28"/>
          <w:szCs w:val="28"/>
          <w:lang w:eastAsia="zh-CN"/>
        </w:rPr>
        <w:t>设备到货、安装、调试、培训及验收</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设备交货期：采购合同签订日</w:t>
      </w:r>
      <w:r>
        <w:rPr>
          <w:rFonts w:hint="eastAsia" w:ascii="宋体" w:hAnsi="宋体" w:eastAsia="宋体" w:cs="宋体"/>
          <w:color w:val="auto"/>
          <w:sz w:val="24"/>
          <w:lang w:val="en-US" w:eastAsia="zh-CN"/>
        </w:rPr>
        <w:t>起</w:t>
      </w:r>
      <w:r>
        <w:rPr>
          <w:rFonts w:hint="eastAsia" w:ascii="宋体" w:hAnsi="宋体" w:eastAsia="宋体" w:cs="宋体"/>
          <w:color w:val="auto"/>
          <w:sz w:val="24"/>
          <w:highlight w:val="none"/>
          <w:lang w:val="en-US" w:eastAsia="zh-CN"/>
        </w:rPr>
        <w:t>90天</w:t>
      </w:r>
      <w:r>
        <w:rPr>
          <w:rFonts w:hint="eastAsia" w:ascii="宋体" w:hAnsi="宋体" w:eastAsia="宋体" w:cs="宋体"/>
          <w:color w:val="auto"/>
          <w:sz w:val="24"/>
          <w:lang w:val="en-US" w:eastAsia="zh-CN"/>
        </w:rPr>
        <w:t>（日历日）。如交期延误，供方需赔偿需方壹仟元/天。</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设备交货安装地点：福建省厦门市集美区金龙路9号厦门金龙联合汽车工业有限公司总装车间内。</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设备供方负责设备发运、安装、调试的全部工作，对设备的发运、安装、调试工作的正确性负全部责任。</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设备运送到需方工厂后，供方需自行负责卸货、转运、安装、调试，并自带所需的安装设备及工具、辅料，需方可提供叉车、行吊进行辅助。运送、安装、调试过程中，供方需遵守需方工厂的各项安全规定，并对出现的安全、消防、环保等问题负全部责任。</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需方仅负责提供设备安装、调试使用的电源、气源及通讯网络，具体使用地点由需方与供方友好协商确定。</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方需免费对现场设备操作人员、设备维修人员、车间工艺技术人员进行培训。培训要求做到设备操作人员能够独立掌握设备操作、程序选定、扭矩调整及简单的故障排除；设备维修人员能够独立处理设备故障、备份数据、拧紧参数设定及调整；车间工艺技术人员能够备份数据、设定及调整拧紧参数、统计分析拧紧数据和拧紧曲线、能够远程监控拧紧电枪使用状况及进行远程参数修改、数据备份等。</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设备安装调试完成、培训完成后正式投入使用，供方需至少安排一名</w:t>
      </w:r>
      <w:r>
        <w:rPr>
          <w:rFonts w:hint="eastAsia" w:ascii="宋体" w:hAnsi="宋体" w:eastAsia="宋体" w:cs="宋体"/>
          <w:color w:val="auto"/>
          <w:sz w:val="24"/>
          <w:lang w:val="en-US" w:eastAsia="zh-CN"/>
        </w:rPr>
        <w:t>技术人员陪产至设备持续稳定运行，且陪产时间不少于7个工作日。</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设备预验收。设备安装调试完成</w:t>
      </w:r>
      <w:r>
        <w:rPr>
          <w:rFonts w:hint="eastAsia" w:ascii="宋体" w:hAnsi="宋体" w:eastAsia="宋体" w:cs="宋体"/>
          <w:color w:val="auto"/>
          <w:sz w:val="24"/>
          <w:lang w:val="en-US" w:eastAsia="zh-CN"/>
        </w:rPr>
        <w:t>30天</w:t>
      </w:r>
      <w:r>
        <w:rPr>
          <w:rFonts w:hint="eastAsia" w:ascii="宋体" w:hAnsi="宋体" w:eastAsia="宋体" w:cs="宋体"/>
          <w:color w:val="auto"/>
          <w:sz w:val="24"/>
          <w:lang w:eastAsia="zh-CN"/>
        </w:rPr>
        <w:t>，拧紧电枪校验合格，核对设备采购合同与技术协议，符合要求，双方签署《设备预验收报告》。</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eastAsia="zh-CN"/>
        </w:rPr>
        <w:t>设备终验收。设备连续正常使用</w:t>
      </w:r>
      <w:r>
        <w:rPr>
          <w:rFonts w:hint="eastAsia" w:ascii="宋体" w:hAnsi="宋体" w:eastAsia="宋体" w:cs="宋体"/>
          <w:color w:val="auto"/>
          <w:sz w:val="24"/>
          <w:lang w:val="en-US" w:eastAsia="zh-CN"/>
        </w:rPr>
        <w:t>3个月，所生产的产品质量合格，工艺节拍符合要求，设备使用状态和性能良好，供需双方组织人员进行设备终验收，签署《设备终验收交接报告》。</w:t>
      </w:r>
    </w:p>
    <w:p>
      <w:pPr>
        <w:keepNext w:val="0"/>
        <w:keepLines w:val="0"/>
        <w:pageBreakBefore w:val="0"/>
        <w:widowControl w:val="0"/>
        <w:numPr>
          <w:ilvl w:val="0"/>
          <w:numId w:val="12"/>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lang w:val="en-US" w:eastAsia="zh-CN"/>
        </w:rPr>
        <w:t>设备预验收及终验收时，如发现设备与技术协议不符，需方有权要求退货并解除合同，供方应赔偿由此给需方造成的一切损失。</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lang w:eastAsia="zh-CN"/>
        </w:rPr>
      </w:pPr>
      <w:r>
        <w:rPr>
          <w:rFonts w:hint="eastAsia" w:ascii="华文中宋" w:hAnsi="华文中宋" w:eastAsia="华文中宋" w:cs="华文中宋"/>
          <w:color w:val="auto"/>
          <w:sz w:val="28"/>
          <w:szCs w:val="28"/>
          <w:lang w:eastAsia="zh-CN"/>
        </w:rPr>
        <w:t>售后服务与技术资料</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设备质保期为自终验收合格之日起二</w:t>
      </w:r>
      <w:r>
        <w:rPr>
          <w:rFonts w:hint="eastAsia" w:ascii="宋体" w:hAnsi="宋体" w:eastAsia="宋体" w:cs="宋体"/>
          <w:color w:val="auto"/>
          <w:sz w:val="24"/>
          <w:lang w:val="en-US" w:eastAsia="zh-CN"/>
        </w:rPr>
        <w:t>年。系统软件免费终身</w:t>
      </w:r>
      <w:r>
        <w:rPr>
          <w:rFonts w:hint="eastAsia" w:ascii="宋体" w:hAnsi="宋体" w:eastAsia="宋体" w:cs="宋体"/>
          <w:color w:val="auto"/>
          <w:sz w:val="24"/>
          <w:lang w:eastAsia="zh-CN"/>
        </w:rPr>
        <w:t>维护。</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lang w:eastAsia="zh-CN"/>
        </w:rPr>
        <w:t>拧紧电枪拧紧精度质保期为自终验收合格之日起</w:t>
      </w:r>
      <w:r>
        <w:rPr>
          <w:rFonts w:hint="eastAsia" w:ascii="宋体" w:hAnsi="宋体" w:eastAsia="宋体" w:cs="宋体"/>
          <w:color w:val="auto"/>
          <w:sz w:val="24"/>
          <w:lang w:val="en-US" w:eastAsia="zh-CN"/>
        </w:rPr>
        <w:t>100万次，即拧紧电枪在未达到100万次拧紧前，若出现拧紧精度降低（由需方因素造成的精度降低除外），需要维修或者更换部件的，均由供方免费维修、免费更换原厂部件。设备维修不得影响生产，供方需免费提供备品给需方使用，且需在30天内维修完毕。如因电枪精度降低（由需方因素造成的精度降低除外）影响生产超过3天，需方有权要求退货并解除合同，供方应赔偿由此给需方造成的一切损失。（本条款独立于上述第1条“</w:t>
      </w:r>
      <w:r>
        <w:rPr>
          <w:rFonts w:hint="eastAsia" w:ascii="宋体" w:hAnsi="宋体" w:eastAsia="宋体" w:cs="宋体"/>
          <w:color w:val="auto"/>
          <w:sz w:val="24"/>
          <w:lang w:eastAsia="zh-CN"/>
        </w:rPr>
        <w:t>设备质保期为自终验收合格之日起二</w:t>
      </w:r>
      <w:r>
        <w:rPr>
          <w:rFonts w:hint="eastAsia" w:ascii="宋体" w:hAnsi="宋体" w:eastAsia="宋体" w:cs="宋体"/>
          <w:color w:val="auto"/>
          <w:sz w:val="24"/>
          <w:lang w:val="en-US" w:eastAsia="zh-CN"/>
        </w:rPr>
        <w:t>年”条款）。</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拧紧电枪在质保期内，正常使用条件下出现故障，供方需免费维修，部件损坏的需免费更换原厂部件。</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质保期内设备出现故障，供方需在接到通知后</w:t>
      </w:r>
      <w:r>
        <w:rPr>
          <w:rFonts w:hint="eastAsia" w:ascii="宋体" w:hAnsi="宋体" w:eastAsia="宋体" w:cs="宋体"/>
          <w:color w:val="auto"/>
          <w:sz w:val="24"/>
          <w:highlight w:val="none"/>
          <w:lang w:val="en-US" w:eastAsia="zh-CN"/>
        </w:rPr>
        <w:t>4小时内响应，24小时内服务人员到达现场，48小时内处理完毕。如拧紧电枪无法维修，需整体更换，供方需免费提供备品给需方使用，新的拧紧电枪需在60天内到货。新的设备应重新调试验收，质保期自重新调试终验收合格之日起二年，拧紧电枪精度质保期</w:t>
      </w:r>
      <w:r>
        <w:rPr>
          <w:rFonts w:hint="eastAsia" w:ascii="宋体" w:hAnsi="宋体" w:eastAsia="宋体" w:cs="宋体"/>
          <w:color w:val="auto"/>
          <w:sz w:val="24"/>
          <w:highlight w:val="none"/>
          <w:lang w:eastAsia="zh-CN"/>
        </w:rPr>
        <w:t>为自终验收合格之日起</w:t>
      </w:r>
      <w:r>
        <w:rPr>
          <w:rFonts w:hint="eastAsia" w:ascii="宋体" w:hAnsi="宋体" w:eastAsia="宋体" w:cs="宋体"/>
          <w:color w:val="auto"/>
          <w:sz w:val="24"/>
          <w:highlight w:val="none"/>
          <w:lang w:val="en-US" w:eastAsia="zh-CN"/>
        </w:rPr>
        <w:t>100万次。</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质保期内，单台设备任意连续</w:t>
      </w:r>
      <w:r>
        <w:rPr>
          <w:rFonts w:hint="eastAsia" w:ascii="宋体" w:hAnsi="宋体" w:eastAsia="宋体" w:cs="宋体"/>
          <w:color w:val="auto"/>
          <w:sz w:val="24"/>
          <w:lang w:val="en-US" w:eastAsia="zh-CN"/>
        </w:rPr>
        <w:t>30天内，由供方因素造成的故障次数不得超过2次，如超出并影响生产，需方有权要求供方赔偿，赔偿金额为伍佰元/次。</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质保期内，单台设备单次故障时间不得超过8小时，如超出并影响生产，需方有权要求供方赔偿，赔偿金额为贰佰元/小时。（本条款独立于上述第5条，关于“</w:t>
      </w:r>
      <w:r>
        <w:rPr>
          <w:rFonts w:hint="eastAsia" w:ascii="宋体" w:hAnsi="宋体" w:eastAsia="宋体" w:cs="宋体"/>
          <w:color w:val="auto"/>
          <w:sz w:val="24"/>
          <w:lang w:eastAsia="zh-CN"/>
        </w:rPr>
        <w:t>质保期内，单台设备任意连续</w:t>
      </w:r>
      <w:r>
        <w:rPr>
          <w:rFonts w:hint="eastAsia" w:ascii="宋体" w:hAnsi="宋体" w:eastAsia="宋体" w:cs="宋体"/>
          <w:color w:val="auto"/>
          <w:sz w:val="24"/>
          <w:lang w:val="en-US" w:eastAsia="zh-CN"/>
        </w:rPr>
        <w:t>30天内，由供方因素造成的故障次数不得超过2次”条款）。</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sz w:val="24"/>
          <w:highlight w:val="none"/>
          <w:lang w:val="en-US" w:eastAsia="zh-CN"/>
        </w:rPr>
        <w:t>质保期内，单台设备任意连续30天内，设备稼动率低于96%（由需方因素造成的故障除外），需方有权要求退货并解除合同，供方应赔偿由此给需方造成的一切损失。（设备稼动率=（总生产时间-设备故障时间）</w:t>
      </w:r>
      <w:r>
        <w:rPr>
          <w:rFonts w:hint="eastAsia" w:ascii="Arial" w:hAnsi="Arial" w:eastAsia="宋体" w:cs="Arial"/>
          <w:color w:val="auto"/>
          <w:sz w:val="24"/>
          <w:highlight w:val="none"/>
          <w:lang w:val="en-US" w:eastAsia="zh-CN"/>
        </w:rPr>
        <w:t>/</w:t>
      </w:r>
      <w:r>
        <w:rPr>
          <w:rFonts w:hint="eastAsia" w:ascii="宋体" w:hAnsi="宋体" w:eastAsia="宋体" w:cs="宋体"/>
          <w:color w:val="auto"/>
          <w:sz w:val="24"/>
          <w:highlight w:val="none"/>
          <w:lang w:val="en-US" w:eastAsia="zh-CN"/>
        </w:rPr>
        <w:t>总生产时间）。</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质保期外，供方仍需提供免费的咨询服务。设备出现故障需供方协助时，供方需在4小时内提供服务，可收取一定的维修费用、备件费用。如因供方不配合，造成设备无法及时维修，超过15天的，每超出1天，需方有权要求供方赔偿，赔偿金额为伍佰元/天。</w:t>
      </w:r>
    </w:p>
    <w:p>
      <w:pPr>
        <w:keepNext w:val="0"/>
        <w:keepLines w:val="0"/>
        <w:pageBreakBefore w:val="0"/>
        <w:widowControl w:val="0"/>
        <w:numPr>
          <w:ilvl w:val="0"/>
          <w:numId w:val="13"/>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供方需提供以下资料（以下所有资料均为中文版）：</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设备使用说明书（含电子书）。</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设备维护保养说明书（含电子书）。</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非标部件图纸（</w:t>
      </w:r>
      <w:r>
        <w:rPr>
          <w:rFonts w:hint="eastAsia" w:ascii="宋体" w:hAnsi="宋体" w:eastAsia="宋体" w:cs="宋体"/>
          <w:color w:val="auto"/>
          <w:sz w:val="24"/>
          <w:lang w:val="en-US" w:eastAsia="zh-CN"/>
        </w:rPr>
        <w:t>CAD图纸电子档）。</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软件操作手册（含电子档）。</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设备所需软件备份（</w:t>
      </w:r>
      <w:r>
        <w:rPr>
          <w:rFonts w:hint="eastAsia" w:ascii="宋体" w:hAnsi="宋体" w:eastAsia="宋体" w:cs="宋体"/>
          <w:color w:val="auto"/>
          <w:sz w:val="24"/>
          <w:lang w:val="en-US" w:eastAsia="zh-CN"/>
        </w:rPr>
        <w:t>U盘或光盘备份</w:t>
      </w:r>
      <w:r>
        <w:rPr>
          <w:rFonts w:hint="eastAsia" w:ascii="宋体" w:hAnsi="宋体" w:eastAsia="宋体" w:cs="宋体"/>
          <w:color w:val="auto"/>
          <w:sz w:val="24"/>
          <w:lang w:eastAsia="zh-CN"/>
        </w:rPr>
        <w:t>）。</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产品合格证及装箱清单。</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出厂检测报告。</w:t>
      </w:r>
    </w:p>
    <w:p>
      <w:pPr>
        <w:keepNext w:val="0"/>
        <w:keepLines w:val="0"/>
        <w:pageBreakBefore w:val="0"/>
        <w:widowControl w:val="0"/>
        <w:numPr>
          <w:ilvl w:val="0"/>
          <w:numId w:val="14"/>
        </w:numPr>
        <w:kinsoku/>
        <w:wordWrap/>
        <w:overflowPunct/>
        <w:topLinePunct w:val="0"/>
        <w:autoSpaceDE/>
        <w:autoSpaceDN/>
        <w:bidi w:val="0"/>
        <w:adjustRightInd/>
        <w:snapToGrid/>
        <w:spacing w:after="160" w:line="440" w:lineRule="exact"/>
        <w:ind w:left="425" w:leftChars="0" w:right="0" w:rightChars="0" w:hanging="5" w:firstLineChars="0"/>
        <w:jc w:val="left"/>
        <w:textAlignment w:val="auto"/>
        <w:outlineLvl w:val="9"/>
        <w:rPr>
          <w:rFonts w:hint="eastAsia" w:ascii="宋体" w:hAnsi="宋体" w:eastAsia="宋体" w:cs="宋体"/>
          <w:color w:val="auto"/>
          <w:sz w:val="24"/>
          <w:lang w:eastAsia="zh-CN"/>
        </w:rPr>
      </w:pPr>
      <w:r>
        <w:rPr>
          <w:rFonts w:hint="eastAsia" w:ascii="宋体" w:hAnsi="宋体" w:eastAsia="宋体" w:cs="宋体"/>
          <w:color w:val="auto"/>
          <w:sz w:val="24"/>
          <w:lang w:eastAsia="zh-CN"/>
        </w:rPr>
        <w:t>设备备件、易损件清单。所有备件及易损件应注明生产厂商，生产地址，规格型号、联系方式及价格。</w:t>
      </w:r>
    </w:p>
    <w:p>
      <w:pPr>
        <w:keepNext w:val="0"/>
        <w:keepLines w:val="0"/>
        <w:pageBreakBefore w:val="0"/>
        <w:widowControl w:val="0"/>
        <w:numPr>
          <w:ilvl w:val="0"/>
          <w:numId w:val="1"/>
        </w:numPr>
        <w:kinsoku/>
        <w:wordWrap/>
        <w:overflowPunct/>
        <w:topLinePunct w:val="0"/>
        <w:autoSpaceDE/>
        <w:autoSpaceDN/>
        <w:bidi w:val="0"/>
        <w:adjustRightInd/>
        <w:snapToGrid/>
        <w:spacing w:after="160" w:line="440" w:lineRule="exact"/>
        <w:ind w:left="0" w:leftChars="0" w:right="0" w:rightChars="0" w:firstLine="0" w:firstLineChars="0"/>
        <w:jc w:val="left"/>
        <w:textAlignment w:val="auto"/>
        <w:outlineLvl w:val="9"/>
        <w:rPr>
          <w:rFonts w:hint="eastAsia" w:ascii="华文中宋" w:hAnsi="华文中宋" w:eastAsia="华文中宋" w:cs="华文中宋"/>
          <w:color w:val="auto"/>
          <w:sz w:val="28"/>
          <w:szCs w:val="28"/>
          <w:lang w:eastAsia="zh-CN"/>
        </w:rPr>
      </w:pPr>
      <w:r>
        <w:rPr>
          <w:rFonts w:hint="eastAsia" w:ascii="华文中宋" w:hAnsi="华文中宋" w:eastAsia="华文中宋" w:cs="华文中宋"/>
          <w:color w:val="auto"/>
          <w:sz w:val="28"/>
          <w:szCs w:val="28"/>
          <w:lang w:eastAsia="zh-CN"/>
        </w:rPr>
        <w:t>其他事项</w:t>
      </w:r>
    </w:p>
    <w:p>
      <w:pPr>
        <w:pStyle w:val="21"/>
        <w:spacing w:before="62" w:beforeLines="20"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9.1.本协议作为商务合同的一部分，具体售后协议及质保条款在商务合同另行签订。</w:t>
      </w:r>
    </w:p>
    <w:p>
      <w:pPr>
        <w:pStyle w:val="21"/>
        <w:spacing w:before="62" w:beforeLines="20"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9.2.未经得甲方授权，乙方不得复制或改动与本项目有关技术文档应用于第三者的产品或项目。</w:t>
      </w:r>
    </w:p>
    <w:p>
      <w:pPr>
        <w:pStyle w:val="21"/>
        <w:spacing w:before="62" w:beforeLines="20"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9.3.本协议未尽事宜，由甲乙双方友好协商后签订书面协议，作为本协议的补充条款，与本协议具有同等法律效力。</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 因执行本协议所发生的或与本协议有关的一切争议，双方应通过友好协商解决，协商解决不成的，应提交厦门仲裁委员会仲裁裁决。</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9.5 乙方应保证设备所有的技术不侵犯任何第三人的合法权益。如果发生第三人指控甲方实施、使用该项技术而侵权的，乙方应当承担由此而引起的任何诉讼及一切法律责任。若甲方被司法判决承担赔偿责任，甲方赔偿后，乙方应承担甲方该损失。 </w:t>
      </w:r>
    </w:p>
    <w:p>
      <w:pPr>
        <w:keepNext w:val="0"/>
        <w:keepLines w:val="0"/>
        <w:pageBreakBefore w:val="0"/>
        <w:widowControl/>
        <w:kinsoku/>
        <w:wordWrap/>
        <w:overflowPunct w:val="0"/>
        <w:topLinePunct w:val="0"/>
        <w:autoSpaceDE w:val="0"/>
        <w:autoSpaceDN w:val="0"/>
        <w:bidi w:val="0"/>
        <w:adjustRightInd w:val="0"/>
        <w:snapToGrid w:val="0"/>
        <w:spacing w:line="440" w:lineRule="exact"/>
        <w:ind w:firstLine="480" w:firstLineChars="200"/>
        <w:textAlignment w:val="baseline"/>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9.6 本协议自双方代表签字并加盖公章（或合同章）后，自签订之日起生效，一式贰份，甲乙双方各执壹份。</w:t>
      </w:r>
    </w:p>
    <w:p>
      <w:pPr>
        <w:pStyle w:val="2"/>
        <w:rPr>
          <w:color w:val="auto"/>
          <w:sz w:val="24"/>
          <w:szCs w:val="24"/>
        </w:rPr>
      </w:pPr>
    </w:p>
    <w:p>
      <w:pPr>
        <w:rPr>
          <w:color w:val="auto"/>
          <w:sz w:val="24"/>
          <w:szCs w:val="24"/>
        </w:rPr>
      </w:pPr>
    </w:p>
    <w:p>
      <w:pPr>
        <w:rPr>
          <w:color w:val="auto"/>
          <w:sz w:val="24"/>
          <w:szCs w:val="24"/>
        </w:rPr>
      </w:pPr>
    </w:p>
    <w:p>
      <w:pPr>
        <w:pStyle w:val="18"/>
        <w:keepNext w:val="0"/>
        <w:keepLines w:val="0"/>
        <w:pageBreakBefore w:val="0"/>
        <w:kinsoku/>
        <w:wordWrap/>
        <w:overflowPunct/>
        <w:topLinePunct w:val="0"/>
        <w:bidi w:val="0"/>
        <w:adjustRightInd/>
        <w:snapToGrid/>
        <w:spacing w:line="360" w:lineRule="auto"/>
        <w:ind w:left="0" w:leftChars="0" w:firstLine="0" w:firstLineChars="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甲方：</w:t>
      </w:r>
      <w:r>
        <w:rPr>
          <w:rFonts w:hint="eastAsia" w:hAnsi="宋体"/>
          <w:b w:val="0"/>
          <w:bCs/>
          <w:color w:val="auto"/>
          <w:sz w:val="24"/>
          <w:szCs w:val="24"/>
          <w:highlight w:val="none"/>
        </w:rPr>
        <w:t>厦门金龙联合汽车工业有限公司</w:t>
      </w:r>
      <w:r>
        <w:rPr>
          <w:rFonts w:hint="eastAsia" w:hAnsi="宋体"/>
          <w:b/>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乙方：</w:t>
      </w: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代表：                                 代表：</w:t>
      </w:r>
    </w:p>
    <w:p>
      <w:pPr>
        <w:pStyle w:val="2"/>
        <w:keepNext w:val="0"/>
        <w:keepLines w:val="0"/>
        <w:pageBreakBefore w:val="0"/>
        <w:kinsoku/>
        <w:wordWrap/>
        <w:overflowPunct/>
        <w:topLinePunct w:val="0"/>
        <w:bidi w:val="0"/>
        <w:adjustRightInd/>
        <w:snapToGrid/>
        <w:ind w:firstLine="0" w:firstLineChars="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bidi w:val="0"/>
        <w:adjustRightInd/>
        <w:snapToGrid/>
        <w:ind w:firstLine="0" w:firstLineChars="0"/>
        <w:textAlignment w:val="auto"/>
        <w:outlineLvl w:val="9"/>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                             联系电话：</w:t>
      </w: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bidi w:val="0"/>
        <w:adjustRightInd/>
        <w:snapToGrid/>
        <w:spacing w:line="400" w:lineRule="exact"/>
        <w:ind w:firstLine="0" w:firstLineChars="0"/>
        <w:textAlignment w:val="auto"/>
        <w:outlineLvl w:val="9"/>
        <w:rPr>
          <w:rFonts w:hint="eastAsia" w:ascii="宋体" w:hAnsi="宋体" w:eastAsia="宋体" w:cs="宋体"/>
          <w:color w:val="auto"/>
          <w:sz w:val="24"/>
          <w:highlight w:val="yellow"/>
          <w:lang w:val="en-US" w:eastAsia="zh-CN"/>
        </w:rPr>
      </w:pPr>
      <w:r>
        <w:rPr>
          <w:rFonts w:hint="eastAsia" w:ascii="宋体" w:hAnsi="宋体" w:eastAsia="宋体" w:cs="宋体"/>
          <w:color w:val="auto"/>
          <w:sz w:val="24"/>
          <w:szCs w:val="24"/>
          <w:highlight w:val="none"/>
          <w:lang w:val="en-US" w:eastAsia="zh-CN"/>
        </w:rPr>
        <w:t>日期：                                 日期：</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76200" cy="117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17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9.25pt;width:6pt;mso-position-horizontal:right;mso-position-horizontal-relative:margin;z-index:251658240;mso-width-relative:page;mso-height-relative:page;" filled="f" stroked="f" coordsize="21600,21600" o:gfxdata="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dCQF0QAAAAMBAAAPAAAAAAAAAAEAIAAA&#10;ACIAAABkcnMvZG93bnJldi54bWxQSwECFAAUAAAACACHTuJAc+0/xRMCAAAGBAAADgAAAAAAAAAB&#10;ACAAAAAgAQAAZHJzL2Uyb0RvYy54bWxQSwUGAAAAAAYABgBZAQAApQUAAAAA&#10;">
              <v:fill on="f" focussize="0,0"/>
              <v:stroke on="f" weight="0.5pt"/>
              <v:imagedata o:title=""/>
              <o:lock v:ext="edit" aspectratio="f"/>
              <v:textbox inset="0mm,0mm,0mm,0mm">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6250D"/>
    <w:multiLevelType w:val="singleLevel"/>
    <w:tmpl w:val="9A46250D"/>
    <w:lvl w:ilvl="0" w:tentative="0">
      <w:start w:val="1"/>
      <w:numFmt w:val="decimal"/>
      <w:suff w:val="nothing"/>
      <w:lvlText w:val="（%1）"/>
      <w:lvlJc w:val="left"/>
    </w:lvl>
  </w:abstractNum>
  <w:abstractNum w:abstractNumId="1">
    <w:nsid w:val="D19B2860"/>
    <w:multiLevelType w:val="singleLevel"/>
    <w:tmpl w:val="D19B2860"/>
    <w:lvl w:ilvl="0" w:tentative="0">
      <w:start w:val="1"/>
      <w:numFmt w:val="decimal"/>
      <w:lvlText w:val="%1."/>
      <w:lvlJc w:val="left"/>
      <w:pPr>
        <w:ind w:left="425" w:hanging="425"/>
      </w:pPr>
      <w:rPr>
        <w:rFonts w:hint="default"/>
      </w:rPr>
    </w:lvl>
  </w:abstractNum>
  <w:abstractNum w:abstractNumId="2">
    <w:nsid w:val="E925D81B"/>
    <w:multiLevelType w:val="singleLevel"/>
    <w:tmpl w:val="E925D81B"/>
    <w:lvl w:ilvl="0" w:tentative="0">
      <w:start w:val="1"/>
      <w:numFmt w:val="decimal"/>
      <w:lvlText w:val="%1."/>
      <w:lvlJc w:val="left"/>
      <w:pPr>
        <w:tabs>
          <w:tab w:val="left" w:pos="312"/>
        </w:tabs>
      </w:pPr>
    </w:lvl>
  </w:abstractNum>
  <w:abstractNum w:abstractNumId="3">
    <w:nsid w:val="58588FBE"/>
    <w:multiLevelType w:val="singleLevel"/>
    <w:tmpl w:val="58588FBE"/>
    <w:lvl w:ilvl="0" w:tentative="0">
      <w:start w:val="1"/>
      <w:numFmt w:val="decimal"/>
      <w:lvlText w:val="%1."/>
      <w:lvlJc w:val="left"/>
      <w:pPr>
        <w:ind w:left="425" w:hanging="425"/>
      </w:pPr>
      <w:rPr>
        <w:rFonts w:hint="default"/>
      </w:rPr>
    </w:lvl>
  </w:abstractNum>
  <w:abstractNum w:abstractNumId="4">
    <w:nsid w:val="585CD8F0"/>
    <w:multiLevelType w:val="singleLevel"/>
    <w:tmpl w:val="585CD8F0"/>
    <w:lvl w:ilvl="0" w:tentative="0">
      <w:start w:val="1"/>
      <w:numFmt w:val="decimal"/>
      <w:lvlText w:val="%1."/>
      <w:lvlJc w:val="left"/>
      <w:pPr>
        <w:ind w:left="425" w:hanging="425"/>
      </w:pPr>
      <w:rPr>
        <w:rFonts w:hint="default"/>
      </w:rPr>
    </w:lvl>
  </w:abstractNum>
  <w:abstractNum w:abstractNumId="5">
    <w:nsid w:val="591001FF"/>
    <w:multiLevelType w:val="singleLevel"/>
    <w:tmpl w:val="591001FF"/>
    <w:lvl w:ilvl="0" w:tentative="0">
      <w:start w:val="1"/>
      <w:numFmt w:val="decimal"/>
      <w:lvlText w:val="%1."/>
      <w:lvlJc w:val="left"/>
      <w:pPr>
        <w:ind w:left="425" w:hanging="425"/>
      </w:pPr>
      <w:rPr>
        <w:rFonts w:hint="default"/>
      </w:rPr>
    </w:lvl>
  </w:abstractNum>
  <w:abstractNum w:abstractNumId="6">
    <w:nsid w:val="5A1248E4"/>
    <w:multiLevelType w:val="singleLevel"/>
    <w:tmpl w:val="5A1248E4"/>
    <w:lvl w:ilvl="0" w:tentative="0">
      <w:start w:val="1"/>
      <w:numFmt w:val="decimal"/>
      <w:lvlText w:val="%1."/>
      <w:lvlJc w:val="left"/>
      <w:pPr>
        <w:ind w:left="425" w:leftChars="0" w:hanging="425" w:firstLineChars="0"/>
      </w:pPr>
      <w:rPr>
        <w:rFonts w:hint="default"/>
      </w:rPr>
    </w:lvl>
  </w:abstractNum>
  <w:abstractNum w:abstractNumId="7">
    <w:nsid w:val="5A1272AA"/>
    <w:multiLevelType w:val="singleLevel"/>
    <w:tmpl w:val="5A1272AA"/>
    <w:lvl w:ilvl="0" w:tentative="0">
      <w:start w:val="1"/>
      <w:numFmt w:val="chineseCounting"/>
      <w:suff w:val="nothing"/>
      <w:lvlText w:val="（%1）"/>
      <w:lvlJc w:val="left"/>
      <w:pPr>
        <w:ind w:left="0" w:leftChars="0" w:firstLine="420" w:firstLineChars="0"/>
      </w:pPr>
      <w:rPr>
        <w:rFonts w:hint="eastAsia"/>
      </w:rPr>
    </w:lvl>
  </w:abstractNum>
  <w:abstractNum w:abstractNumId="8">
    <w:nsid w:val="5A1272E5"/>
    <w:multiLevelType w:val="singleLevel"/>
    <w:tmpl w:val="5A1272E5"/>
    <w:lvl w:ilvl="0" w:tentative="0">
      <w:start w:val="1"/>
      <w:numFmt w:val="decimal"/>
      <w:lvlText w:val="%1."/>
      <w:lvlJc w:val="left"/>
      <w:pPr>
        <w:ind w:left="425" w:leftChars="0" w:hanging="425" w:firstLineChars="0"/>
      </w:pPr>
      <w:rPr>
        <w:rFonts w:hint="default"/>
      </w:rPr>
    </w:lvl>
  </w:abstractNum>
  <w:abstractNum w:abstractNumId="9">
    <w:nsid w:val="5A12737A"/>
    <w:multiLevelType w:val="singleLevel"/>
    <w:tmpl w:val="5A12737A"/>
    <w:lvl w:ilvl="0" w:tentative="0">
      <w:start w:val="1"/>
      <w:numFmt w:val="decimal"/>
      <w:lvlText w:val="%1."/>
      <w:lvlJc w:val="left"/>
      <w:pPr>
        <w:ind w:left="425" w:leftChars="0" w:hanging="425" w:firstLineChars="0"/>
      </w:pPr>
      <w:rPr>
        <w:rFonts w:hint="default"/>
      </w:rPr>
    </w:lvl>
  </w:abstractNum>
  <w:abstractNum w:abstractNumId="10">
    <w:nsid w:val="5A127B99"/>
    <w:multiLevelType w:val="singleLevel"/>
    <w:tmpl w:val="5A127B99"/>
    <w:lvl w:ilvl="0" w:tentative="0">
      <w:start w:val="1"/>
      <w:numFmt w:val="decimal"/>
      <w:lvlText w:val="%1."/>
      <w:lvlJc w:val="left"/>
      <w:pPr>
        <w:ind w:left="425" w:leftChars="0" w:hanging="425" w:firstLineChars="0"/>
      </w:pPr>
      <w:rPr>
        <w:rFonts w:hint="default"/>
      </w:rPr>
    </w:lvl>
  </w:abstractNum>
  <w:abstractNum w:abstractNumId="11">
    <w:nsid w:val="5A127FC9"/>
    <w:multiLevelType w:val="singleLevel"/>
    <w:tmpl w:val="5A127FC9"/>
    <w:lvl w:ilvl="0" w:tentative="0">
      <w:start w:val="1"/>
      <w:numFmt w:val="decimal"/>
      <w:lvlText w:val="%1)"/>
      <w:lvlJc w:val="left"/>
      <w:pPr>
        <w:ind w:left="425" w:leftChars="0" w:hanging="425" w:firstLineChars="0"/>
      </w:pPr>
      <w:rPr>
        <w:rFonts w:hint="default"/>
      </w:rPr>
    </w:lvl>
  </w:abstractNum>
  <w:abstractNum w:abstractNumId="12">
    <w:nsid w:val="5A1CB273"/>
    <w:multiLevelType w:val="singleLevel"/>
    <w:tmpl w:val="5A1CB273"/>
    <w:lvl w:ilvl="0" w:tentative="0">
      <w:start w:val="1"/>
      <w:numFmt w:val="chineseCounting"/>
      <w:suff w:val="nothing"/>
      <w:lvlText w:val="%1、"/>
      <w:lvlJc w:val="left"/>
      <w:pPr>
        <w:tabs>
          <w:tab w:val="left" w:pos="0"/>
        </w:tabs>
        <w:ind w:left="0" w:firstLine="420"/>
      </w:pPr>
      <w:rPr>
        <w:rFonts w:hint="eastAsia"/>
      </w:rPr>
    </w:lvl>
  </w:abstractNum>
  <w:abstractNum w:abstractNumId="13">
    <w:nsid w:val="7161A612"/>
    <w:multiLevelType w:val="singleLevel"/>
    <w:tmpl w:val="7161A612"/>
    <w:lvl w:ilvl="0" w:tentative="0">
      <w:start w:val="1"/>
      <w:numFmt w:val="decimal"/>
      <w:suff w:val="nothing"/>
      <w:lvlText w:val="（%1）"/>
      <w:lvlJc w:val="left"/>
      <w:pPr>
        <w:ind w:left="360" w:leftChars="0" w:firstLine="0" w:firstLineChars="0"/>
      </w:pPr>
    </w:lvl>
  </w:abstractNum>
  <w:num w:numId="1">
    <w:abstractNumId w:val="12"/>
  </w:num>
  <w:num w:numId="2">
    <w:abstractNumId w:val="1"/>
  </w:num>
  <w:num w:numId="3">
    <w:abstractNumId w:val="13"/>
  </w:num>
  <w:num w:numId="4">
    <w:abstractNumId w:val="3"/>
  </w:num>
  <w:num w:numId="5">
    <w:abstractNumId w:val="7"/>
  </w:num>
  <w:num w:numId="6">
    <w:abstractNumId w:val="5"/>
  </w:num>
  <w:num w:numId="7">
    <w:abstractNumId w:val="4"/>
  </w:num>
  <w:num w:numId="8">
    <w:abstractNumId w:val="8"/>
  </w:num>
  <w:num w:numId="9">
    <w:abstractNumId w:val="9"/>
  </w:num>
  <w:num w:numId="10">
    <w:abstractNumId w:val="2"/>
  </w:num>
  <w:num w:numId="11">
    <w:abstractNumId w:val="0"/>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13"/>
    <w:rsid w:val="00177876"/>
    <w:rsid w:val="00237E26"/>
    <w:rsid w:val="00387C69"/>
    <w:rsid w:val="004A3181"/>
    <w:rsid w:val="0072614D"/>
    <w:rsid w:val="007B1BA3"/>
    <w:rsid w:val="008168C6"/>
    <w:rsid w:val="008652FA"/>
    <w:rsid w:val="00BD7313"/>
    <w:rsid w:val="00C46D7E"/>
    <w:rsid w:val="00CB65C9"/>
    <w:rsid w:val="00CC1264"/>
    <w:rsid w:val="00FA0E56"/>
    <w:rsid w:val="01584C4A"/>
    <w:rsid w:val="02014DCD"/>
    <w:rsid w:val="021E4117"/>
    <w:rsid w:val="024F1D1C"/>
    <w:rsid w:val="02651151"/>
    <w:rsid w:val="027E579B"/>
    <w:rsid w:val="02C6421B"/>
    <w:rsid w:val="02D71E9E"/>
    <w:rsid w:val="02E971B1"/>
    <w:rsid w:val="02ED6570"/>
    <w:rsid w:val="02F038DD"/>
    <w:rsid w:val="02F90C23"/>
    <w:rsid w:val="03085CF3"/>
    <w:rsid w:val="03192019"/>
    <w:rsid w:val="03B24AB9"/>
    <w:rsid w:val="03BE4F01"/>
    <w:rsid w:val="03E21B57"/>
    <w:rsid w:val="043A35CA"/>
    <w:rsid w:val="046D7C64"/>
    <w:rsid w:val="047074B7"/>
    <w:rsid w:val="05154E4F"/>
    <w:rsid w:val="054910B1"/>
    <w:rsid w:val="054E132B"/>
    <w:rsid w:val="055128CF"/>
    <w:rsid w:val="05B27385"/>
    <w:rsid w:val="05D879B8"/>
    <w:rsid w:val="064329A5"/>
    <w:rsid w:val="06554AB0"/>
    <w:rsid w:val="06A17291"/>
    <w:rsid w:val="07330F6E"/>
    <w:rsid w:val="073E0BCD"/>
    <w:rsid w:val="076840E7"/>
    <w:rsid w:val="07AC60AF"/>
    <w:rsid w:val="07D37561"/>
    <w:rsid w:val="07E765E9"/>
    <w:rsid w:val="08290F90"/>
    <w:rsid w:val="0882152E"/>
    <w:rsid w:val="088E2D6B"/>
    <w:rsid w:val="08AD7576"/>
    <w:rsid w:val="08E30949"/>
    <w:rsid w:val="094E2589"/>
    <w:rsid w:val="09542BA6"/>
    <w:rsid w:val="099E075F"/>
    <w:rsid w:val="09C33728"/>
    <w:rsid w:val="0A161611"/>
    <w:rsid w:val="0A295169"/>
    <w:rsid w:val="0A2E3639"/>
    <w:rsid w:val="0A3957F6"/>
    <w:rsid w:val="0A565D56"/>
    <w:rsid w:val="0A7C4129"/>
    <w:rsid w:val="0ACB2CAA"/>
    <w:rsid w:val="0B301447"/>
    <w:rsid w:val="0B86012C"/>
    <w:rsid w:val="0B9C16D2"/>
    <w:rsid w:val="0BA96F27"/>
    <w:rsid w:val="0BC84D6D"/>
    <w:rsid w:val="0BE10FF2"/>
    <w:rsid w:val="0C046334"/>
    <w:rsid w:val="0C411AD5"/>
    <w:rsid w:val="0CCB652C"/>
    <w:rsid w:val="0CD53D5D"/>
    <w:rsid w:val="0CF56CDC"/>
    <w:rsid w:val="0D901BD4"/>
    <w:rsid w:val="0DC24604"/>
    <w:rsid w:val="0DF9508B"/>
    <w:rsid w:val="0DFD7964"/>
    <w:rsid w:val="0E2A617D"/>
    <w:rsid w:val="0E625BD1"/>
    <w:rsid w:val="0F2471F9"/>
    <w:rsid w:val="0F504F82"/>
    <w:rsid w:val="0F567083"/>
    <w:rsid w:val="0F844403"/>
    <w:rsid w:val="0FDC39FB"/>
    <w:rsid w:val="1003307C"/>
    <w:rsid w:val="101C6212"/>
    <w:rsid w:val="105261EE"/>
    <w:rsid w:val="10664351"/>
    <w:rsid w:val="106E3DF9"/>
    <w:rsid w:val="10D22476"/>
    <w:rsid w:val="10EB7BDE"/>
    <w:rsid w:val="111E28BC"/>
    <w:rsid w:val="11240DC4"/>
    <w:rsid w:val="118D5AC6"/>
    <w:rsid w:val="11BB7A08"/>
    <w:rsid w:val="120218FB"/>
    <w:rsid w:val="1221325C"/>
    <w:rsid w:val="1240631C"/>
    <w:rsid w:val="13391F75"/>
    <w:rsid w:val="135E0F7C"/>
    <w:rsid w:val="137401F7"/>
    <w:rsid w:val="137D1053"/>
    <w:rsid w:val="13BA5231"/>
    <w:rsid w:val="13C033E1"/>
    <w:rsid w:val="13C91CEE"/>
    <w:rsid w:val="13D66156"/>
    <w:rsid w:val="13DF058D"/>
    <w:rsid w:val="141740B0"/>
    <w:rsid w:val="143644BB"/>
    <w:rsid w:val="14A737E1"/>
    <w:rsid w:val="14F07681"/>
    <w:rsid w:val="14F2560D"/>
    <w:rsid w:val="152C0521"/>
    <w:rsid w:val="152C6FA1"/>
    <w:rsid w:val="15311EC7"/>
    <w:rsid w:val="1564477D"/>
    <w:rsid w:val="157401CB"/>
    <w:rsid w:val="158A52A1"/>
    <w:rsid w:val="159A5376"/>
    <w:rsid w:val="160D6220"/>
    <w:rsid w:val="16210F13"/>
    <w:rsid w:val="1640046F"/>
    <w:rsid w:val="164D131E"/>
    <w:rsid w:val="166476CF"/>
    <w:rsid w:val="166E50AB"/>
    <w:rsid w:val="16902DC0"/>
    <w:rsid w:val="16984BFF"/>
    <w:rsid w:val="16EE2698"/>
    <w:rsid w:val="171030EF"/>
    <w:rsid w:val="171565BC"/>
    <w:rsid w:val="173111DE"/>
    <w:rsid w:val="175203B0"/>
    <w:rsid w:val="179A5C01"/>
    <w:rsid w:val="179E2B06"/>
    <w:rsid w:val="17B93C27"/>
    <w:rsid w:val="17C2658C"/>
    <w:rsid w:val="17C50159"/>
    <w:rsid w:val="180D2D13"/>
    <w:rsid w:val="18181918"/>
    <w:rsid w:val="183825AB"/>
    <w:rsid w:val="184D529C"/>
    <w:rsid w:val="188A137D"/>
    <w:rsid w:val="188C3378"/>
    <w:rsid w:val="18F150E3"/>
    <w:rsid w:val="18FB635A"/>
    <w:rsid w:val="19873E1D"/>
    <w:rsid w:val="1A544ABA"/>
    <w:rsid w:val="1A550C36"/>
    <w:rsid w:val="1A554F03"/>
    <w:rsid w:val="1A6A1086"/>
    <w:rsid w:val="1A8D1943"/>
    <w:rsid w:val="1A9925DF"/>
    <w:rsid w:val="1ACC4E8F"/>
    <w:rsid w:val="1AE36E98"/>
    <w:rsid w:val="1AE864A8"/>
    <w:rsid w:val="1AE86932"/>
    <w:rsid w:val="1BA2736D"/>
    <w:rsid w:val="1BA92EF3"/>
    <w:rsid w:val="1BC305B8"/>
    <w:rsid w:val="1BD45261"/>
    <w:rsid w:val="1BDC1135"/>
    <w:rsid w:val="1BF027D5"/>
    <w:rsid w:val="1BF77AD4"/>
    <w:rsid w:val="1C5B258E"/>
    <w:rsid w:val="1C8E0012"/>
    <w:rsid w:val="1C920DF9"/>
    <w:rsid w:val="1CAC5B25"/>
    <w:rsid w:val="1CB22CB9"/>
    <w:rsid w:val="1CC15C94"/>
    <w:rsid w:val="1CE92EE8"/>
    <w:rsid w:val="1D0C64D5"/>
    <w:rsid w:val="1D0D48D1"/>
    <w:rsid w:val="1D35173D"/>
    <w:rsid w:val="1D587981"/>
    <w:rsid w:val="1D8627F6"/>
    <w:rsid w:val="1DFD25BA"/>
    <w:rsid w:val="1E0603F8"/>
    <w:rsid w:val="1E397CD8"/>
    <w:rsid w:val="1E4B44F7"/>
    <w:rsid w:val="1F8B47A1"/>
    <w:rsid w:val="1FA31882"/>
    <w:rsid w:val="1FF93CAF"/>
    <w:rsid w:val="202013B3"/>
    <w:rsid w:val="207470A1"/>
    <w:rsid w:val="208554AD"/>
    <w:rsid w:val="20A437A6"/>
    <w:rsid w:val="20C639C6"/>
    <w:rsid w:val="20F14A00"/>
    <w:rsid w:val="20F45E0F"/>
    <w:rsid w:val="2163327D"/>
    <w:rsid w:val="21662D11"/>
    <w:rsid w:val="21764007"/>
    <w:rsid w:val="2197727C"/>
    <w:rsid w:val="21A36170"/>
    <w:rsid w:val="21EF056D"/>
    <w:rsid w:val="22041BF0"/>
    <w:rsid w:val="222B69B6"/>
    <w:rsid w:val="22366DC5"/>
    <w:rsid w:val="22A46A54"/>
    <w:rsid w:val="22AA4E85"/>
    <w:rsid w:val="23223092"/>
    <w:rsid w:val="234109F3"/>
    <w:rsid w:val="234E4F06"/>
    <w:rsid w:val="23526307"/>
    <w:rsid w:val="23576E1E"/>
    <w:rsid w:val="237847FC"/>
    <w:rsid w:val="23E22CD0"/>
    <w:rsid w:val="23F70D86"/>
    <w:rsid w:val="249F21D9"/>
    <w:rsid w:val="24A06301"/>
    <w:rsid w:val="24A6385D"/>
    <w:rsid w:val="24B83CF9"/>
    <w:rsid w:val="2541734E"/>
    <w:rsid w:val="256A4C80"/>
    <w:rsid w:val="25B30465"/>
    <w:rsid w:val="260137F2"/>
    <w:rsid w:val="26142D8E"/>
    <w:rsid w:val="261650D4"/>
    <w:rsid w:val="26665B19"/>
    <w:rsid w:val="267A7C00"/>
    <w:rsid w:val="2692017E"/>
    <w:rsid w:val="26AE1CF2"/>
    <w:rsid w:val="26C21947"/>
    <w:rsid w:val="26C91CD0"/>
    <w:rsid w:val="26DD14F0"/>
    <w:rsid w:val="26FF2C79"/>
    <w:rsid w:val="27447380"/>
    <w:rsid w:val="277E2FA3"/>
    <w:rsid w:val="279C0CC6"/>
    <w:rsid w:val="27B91351"/>
    <w:rsid w:val="27C94E53"/>
    <w:rsid w:val="283B4638"/>
    <w:rsid w:val="28CD201B"/>
    <w:rsid w:val="292E233E"/>
    <w:rsid w:val="29412BF7"/>
    <w:rsid w:val="296C1640"/>
    <w:rsid w:val="29A41180"/>
    <w:rsid w:val="29CD5FFC"/>
    <w:rsid w:val="2A390A95"/>
    <w:rsid w:val="2A42602B"/>
    <w:rsid w:val="2A876A9A"/>
    <w:rsid w:val="2A9375C7"/>
    <w:rsid w:val="2AAD726E"/>
    <w:rsid w:val="2AD6747E"/>
    <w:rsid w:val="2B6D265A"/>
    <w:rsid w:val="2BFF1833"/>
    <w:rsid w:val="2C3644AA"/>
    <w:rsid w:val="2C506FAB"/>
    <w:rsid w:val="2C76003C"/>
    <w:rsid w:val="2C9502C0"/>
    <w:rsid w:val="2CEF0619"/>
    <w:rsid w:val="2D214D52"/>
    <w:rsid w:val="2D22224C"/>
    <w:rsid w:val="2D3E0C2F"/>
    <w:rsid w:val="2D745922"/>
    <w:rsid w:val="2D8E4C5C"/>
    <w:rsid w:val="2DA573FF"/>
    <w:rsid w:val="2DCB51CC"/>
    <w:rsid w:val="2DE55C86"/>
    <w:rsid w:val="2DF20283"/>
    <w:rsid w:val="2E9D4E06"/>
    <w:rsid w:val="2E9E2F06"/>
    <w:rsid w:val="2EDF08D1"/>
    <w:rsid w:val="2EF660E3"/>
    <w:rsid w:val="2F1235B8"/>
    <w:rsid w:val="2F1C3193"/>
    <w:rsid w:val="2F376F5C"/>
    <w:rsid w:val="2F402E0E"/>
    <w:rsid w:val="2F823E7B"/>
    <w:rsid w:val="2FBC3DA6"/>
    <w:rsid w:val="2FCA10BD"/>
    <w:rsid w:val="2FDF329C"/>
    <w:rsid w:val="2FE71ECF"/>
    <w:rsid w:val="30510E7D"/>
    <w:rsid w:val="307B5523"/>
    <w:rsid w:val="307F0D1F"/>
    <w:rsid w:val="30930499"/>
    <w:rsid w:val="30D75984"/>
    <w:rsid w:val="30F8699D"/>
    <w:rsid w:val="31AF424B"/>
    <w:rsid w:val="31D02240"/>
    <w:rsid w:val="31D03780"/>
    <w:rsid w:val="31D0629E"/>
    <w:rsid w:val="31FD6268"/>
    <w:rsid w:val="32024103"/>
    <w:rsid w:val="32847435"/>
    <w:rsid w:val="328C1084"/>
    <w:rsid w:val="32E05CE1"/>
    <w:rsid w:val="32E24EE5"/>
    <w:rsid w:val="32E76089"/>
    <w:rsid w:val="32FD29CE"/>
    <w:rsid w:val="334D07B0"/>
    <w:rsid w:val="335E22B9"/>
    <w:rsid w:val="33651786"/>
    <w:rsid w:val="337007E3"/>
    <w:rsid w:val="3383061C"/>
    <w:rsid w:val="339439E8"/>
    <w:rsid w:val="33CC4947"/>
    <w:rsid w:val="34326F4A"/>
    <w:rsid w:val="343D369F"/>
    <w:rsid w:val="344C40BC"/>
    <w:rsid w:val="34867CCD"/>
    <w:rsid w:val="34A86221"/>
    <w:rsid w:val="34F0107F"/>
    <w:rsid w:val="35067C60"/>
    <w:rsid w:val="353E757E"/>
    <w:rsid w:val="35423CE4"/>
    <w:rsid w:val="355806DA"/>
    <w:rsid w:val="356B5967"/>
    <w:rsid w:val="357346B2"/>
    <w:rsid w:val="357A1A61"/>
    <w:rsid w:val="35936E78"/>
    <w:rsid w:val="36192DC4"/>
    <w:rsid w:val="3626092E"/>
    <w:rsid w:val="363821E1"/>
    <w:rsid w:val="367B494C"/>
    <w:rsid w:val="36AC560E"/>
    <w:rsid w:val="36FC03E8"/>
    <w:rsid w:val="370D247F"/>
    <w:rsid w:val="37130471"/>
    <w:rsid w:val="37356C75"/>
    <w:rsid w:val="373C4761"/>
    <w:rsid w:val="374B2482"/>
    <w:rsid w:val="3794283E"/>
    <w:rsid w:val="37B31323"/>
    <w:rsid w:val="38115A60"/>
    <w:rsid w:val="384D277A"/>
    <w:rsid w:val="386437AD"/>
    <w:rsid w:val="387E7B23"/>
    <w:rsid w:val="3899208E"/>
    <w:rsid w:val="38CB2191"/>
    <w:rsid w:val="38F14BF7"/>
    <w:rsid w:val="391B35E3"/>
    <w:rsid w:val="3965748C"/>
    <w:rsid w:val="39DB36B4"/>
    <w:rsid w:val="39F82FAA"/>
    <w:rsid w:val="3A306D81"/>
    <w:rsid w:val="3A551CBA"/>
    <w:rsid w:val="3A82084C"/>
    <w:rsid w:val="3AE1149F"/>
    <w:rsid w:val="3B285E0D"/>
    <w:rsid w:val="3B8932CB"/>
    <w:rsid w:val="3BDC6EA5"/>
    <w:rsid w:val="3C451A61"/>
    <w:rsid w:val="3C823442"/>
    <w:rsid w:val="3CE458D5"/>
    <w:rsid w:val="3D4B552A"/>
    <w:rsid w:val="3D623749"/>
    <w:rsid w:val="3D6E4304"/>
    <w:rsid w:val="3D946173"/>
    <w:rsid w:val="3D9F1CE8"/>
    <w:rsid w:val="3DBE07FA"/>
    <w:rsid w:val="3DD16C00"/>
    <w:rsid w:val="3DED3487"/>
    <w:rsid w:val="3E30282C"/>
    <w:rsid w:val="3E4F3C5F"/>
    <w:rsid w:val="3E6626F4"/>
    <w:rsid w:val="3E7341AD"/>
    <w:rsid w:val="3EA835AD"/>
    <w:rsid w:val="3EA91B43"/>
    <w:rsid w:val="3EBD55A4"/>
    <w:rsid w:val="3F0A7FBF"/>
    <w:rsid w:val="3F317709"/>
    <w:rsid w:val="3F631AA0"/>
    <w:rsid w:val="3FE11B19"/>
    <w:rsid w:val="40057796"/>
    <w:rsid w:val="400C670E"/>
    <w:rsid w:val="40567F60"/>
    <w:rsid w:val="40A96270"/>
    <w:rsid w:val="41092FD1"/>
    <w:rsid w:val="41201C98"/>
    <w:rsid w:val="41282B4D"/>
    <w:rsid w:val="41472A04"/>
    <w:rsid w:val="415036B8"/>
    <w:rsid w:val="41DC61E8"/>
    <w:rsid w:val="42291C67"/>
    <w:rsid w:val="42736D7B"/>
    <w:rsid w:val="428269A0"/>
    <w:rsid w:val="42AA416C"/>
    <w:rsid w:val="42AD1622"/>
    <w:rsid w:val="42CD2BD9"/>
    <w:rsid w:val="42FE50FF"/>
    <w:rsid w:val="4363611D"/>
    <w:rsid w:val="43783F54"/>
    <w:rsid w:val="440873A8"/>
    <w:rsid w:val="441F67B3"/>
    <w:rsid w:val="44413E72"/>
    <w:rsid w:val="4468029A"/>
    <w:rsid w:val="44DD75CE"/>
    <w:rsid w:val="455F10EA"/>
    <w:rsid w:val="459C46BC"/>
    <w:rsid w:val="459E0B11"/>
    <w:rsid w:val="45D44E10"/>
    <w:rsid w:val="45E8573C"/>
    <w:rsid w:val="45F57BBC"/>
    <w:rsid w:val="45F63224"/>
    <w:rsid w:val="464137F0"/>
    <w:rsid w:val="467876CF"/>
    <w:rsid w:val="46D71A55"/>
    <w:rsid w:val="470A1EFB"/>
    <w:rsid w:val="47384E3F"/>
    <w:rsid w:val="47AF516E"/>
    <w:rsid w:val="47D73864"/>
    <w:rsid w:val="480A7BDE"/>
    <w:rsid w:val="48271560"/>
    <w:rsid w:val="482923CF"/>
    <w:rsid w:val="48E7625C"/>
    <w:rsid w:val="491E0AD1"/>
    <w:rsid w:val="49395EAA"/>
    <w:rsid w:val="49744B4F"/>
    <w:rsid w:val="49ED7405"/>
    <w:rsid w:val="4A197F9D"/>
    <w:rsid w:val="4A697ADA"/>
    <w:rsid w:val="4A7625ED"/>
    <w:rsid w:val="4A8760F1"/>
    <w:rsid w:val="4ACC49A3"/>
    <w:rsid w:val="4ACF154E"/>
    <w:rsid w:val="4BD420E8"/>
    <w:rsid w:val="4BD74F64"/>
    <w:rsid w:val="4BD82E7F"/>
    <w:rsid w:val="4BF621B5"/>
    <w:rsid w:val="4CB22016"/>
    <w:rsid w:val="4CD35185"/>
    <w:rsid w:val="4D017B47"/>
    <w:rsid w:val="4D030D86"/>
    <w:rsid w:val="4D387FBB"/>
    <w:rsid w:val="4D3B5F78"/>
    <w:rsid w:val="4D406BB4"/>
    <w:rsid w:val="4DBB713F"/>
    <w:rsid w:val="4DEF2408"/>
    <w:rsid w:val="4E0000E5"/>
    <w:rsid w:val="4E0F48EA"/>
    <w:rsid w:val="4E1D2F30"/>
    <w:rsid w:val="4E7769D7"/>
    <w:rsid w:val="4EB86C00"/>
    <w:rsid w:val="4EE92A65"/>
    <w:rsid w:val="4F4F1D66"/>
    <w:rsid w:val="4F7669EE"/>
    <w:rsid w:val="4FCC594D"/>
    <w:rsid w:val="4FD9027E"/>
    <w:rsid w:val="5061315F"/>
    <w:rsid w:val="5078198D"/>
    <w:rsid w:val="5090268A"/>
    <w:rsid w:val="509322CC"/>
    <w:rsid w:val="50C40C05"/>
    <w:rsid w:val="50CF7946"/>
    <w:rsid w:val="51842A1B"/>
    <w:rsid w:val="51E332DE"/>
    <w:rsid w:val="51E90D6A"/>
    <w:rsid w:val="51F16BDA"/>
    <w:rsid w:val="51FA45BC"/>
    <w:rsid w:val="5255651C"/>
    <w:rsid w:val="52CA23F6"/>
    <w:rsid w:val="530D40A9"/>
    <w:rsid w:val="530E7D4D"/>
    <w:rsid w:val="531116D7"/>
    <w:rsid w:val="533362FA"/>
    <w:rsid w:val="53746652"/>
    <w:rsid w:val="539251EC"/>
    <w:rsid w:val="540A3B07"/>
    <w:rsid w:val="545C6DE7"/>
    <w:rsid w:val="54727A3C"/>
    <w:rsid w:val="54B24BE4"/>
    <w:rsid w:val="54B43604"/>
    <w:rsid w:val="54D47F38"/>
    <w:rsid w:val="54E21885"/>
    <w:rsid w:val="54F962D7"/>
    <w:rsid w:val="55356E25"/>
    <w:rsid w:val="5549329D"/>
    <w:rsid w:val="554C6ED6"/>
    <w:rsid w:val="55672E2F"/>
    <w:rsid w:val="557539D2"/>
    <w:rsid w:val="557A468D"/>
    <w:rsid w:val="55905DF6"/>
    <w:rsid w:val="55BD4B63"/>
    <w:rsid w:val="55CF1B09"/>
    <w:rsid w:val="55F560B1"/>
    <w:rsid w:val="560B07D7"/>
    <w:rsid w:val="56611C01"/>
    <w:rsid w:val="5676791F"/>
    <w:rsid w:val="568F1D60"/>
    <w:rsid w:val="56A360B6"/>
    <w:rsid w:val="56DD128D"/>
    <w:rsid w:val="5721162B"/>
    <w:rsid w:val="572658D5"/>
    <w:rsid w:val="57564073"/>
    <w:rsid w:val="576E1737"/>
    <w:rsid w:val="57D82416"/>
    <w:rsid w:val="586D3E8D"/>
    <w:rsid w:val="587E15B0"/>
    <w:rsid w:val="58BA29FB"/>
    <w:rsid w:val="58CE0007"/>
    <w:rsid w:val="597B65B0"/>
    <w:rsid w:val="59A857A1"/>
    <w:rsid w:val="59BC7F41"/>
    <w:rsid w:val="5A58017F"/>
    <w:rsid w:val="5ADE66FC"/>
    <w:rsid w:val="5B040E9B"/>
    <w:rsid w:val="5B375DC9"/>
    <w:rsid w:val="5B5121A7"/>
    <w:rsid w:val="5B860EE3"/>
    <w:rsid w:val="5BDD6772"/>
    <w:rsid w:val="5C276CB8"/>
    <w:rsid w:val="5C4A3107"/>
    <w:rsid w:val="5C6E3799"/>
    <w:rsid w:val="5D026DD1"/>
    <w:rsid w:val="5D1B447C"/>
    <w:rsid w:val="5D3E640C"/>
    <w:rsid w:val="5D481182"/>
    <w:rsid w:val="5D511F38"/>
    <w:rsid w:val="5DB166A5"/>
    <w:rsid w:val="5DE51C6B"/>
    <w:rsid w:val="5E0F15BE"/>
    <w:rsid w:val="5E2725BA"/>
    <w:rsid w:val="5E3C1953"/>
    <w:rsid w:val="5E3E798B"/>
    <w:rsid w:val="5E3F70E2"/>
    <w:rsid w:val="5E7265D6"/>
    <w:rsid w:val="5E9F08F1"/>
    <w:rsid w:val="5EAA417A"/>
    <w:rsid w:val="5F331EB6"/>
    <w:rsid w:val="5F47104D"/>
    <w:rsid w:val="5F6D203B"/>
    <w:rsid w:val="5F7E15B4"/>
    <w:rsid w:val="5FCA1CFA"/>
    <w:rsid w:val="5FE35837"/>
    <w:rsid w:val="608A0B00"/>
    <w:rsid w:val="608F69EF"/>
    <w:rsid w:val="609F7F40"/>
    <w:rsid w:val="60E70915"/>
    <w:rsid w:val="6127138B"/>
    <w:rsid w:val="613E1591"/>
    <w:rsid w:val="61491AAB"/>
    <w:rsid w:val="61922B88"/>
    <w:rsid w:val="61A059A2"/>
    <w:rsid w:val="620E05A2"/>
    <w:rsid w:val="626114CB"/>
    <w:rsid w:val="6297271B"/>
    <w:rsid w:val="629B79BB"/>
    <w:rsid w:val="62B6547D"/>
    <w:rsid w:val="62C606FC"/>
    <w:rsid w:val="62F70C0D"/>
    <w:rsid w:val="6314072A"/>
    <w:rsid w:val="636B602C"/>
    <w:rsid w:val="637575BF"/>
    <w:rsid w:val="638F16AB"/>
    <w:rsid w:val="63E1187B"/>
    <w:rsid w:val="64247448"/>
    <w:rsid w:val="6439191B"/>
    <w:rsid w:val="64392DC9"/>
    <w:rsid w:val="644A6972"/>
    <w:rsid w:val="646670B4"/>
    <w:rsid w:val="649943F0"/>
    <w:rsid w:val="649F0C23"/>
    <w:rsid w:val="65097958"/>
    <w:rsid w:val="65930E66"/>
    <w:rsid w:val="65BD3936"/>
    <w:rsid w:val="65C02103"/>
    <w:rsid w:val="65CF06FF"/>
    <w:rsid w:val="66A2513D"/>
    <w:rsid w:val="66AB41F8"/>
    <w:rsid w:val="66D631ED"/>
    <w:rsid w:val="66E604A9"/>
    <w:rsid w:val="66EA1B04"/>
    <w:rsid w:val="672275B9"/>
    <w:rsid w:val="675C3A76"/>
    <w:rsid w:val="67623232"/>
    <w:rsid w:val="677F4C69"/>
    <w:rsid w:val="677F6983"/>
    <w:rsid w:val="67956596"/>
    <w:rsid w:val="679A13DF"/>
    <w:rsid w:val="67C5383E"/>
    <w:rsid w:val="67C80445"/>
    <w:rsid w:val="68335102"/>
    <w:rsid w:val="68581ADC"/>
    <w:rsid w:val="689C1166"/>
    <w:rsid w:val="68E251F2"/>
    <w:rsid w:val="693F2A40"/>
    <w:rsid w:val="69A90040"/>
    <w:rsid w:val="69C27DA0"/>
    <w:rsid w:val="69DE7940"/>
    <w:rsid w:val="6A2D6CD7"/>
    <w:rsid w:val="6A5555DB"/>
    <w:rsid w:val="6A9B3D58"/>
    <w:rsid w:val="6AAE77D7"/>
    <w:rsid w:val="6ACE6875"/>
    <w:rsid w:val="6AD7379E"/>
    <w:rsid w:val="6B380F9B"/>
    <w:rsid w:val="6B694C36"/>
    <w:rsid w:val="6C58469F"/>
    <w:rsid w:val="6C9B79FB"/>
    <w:rsid w:val="6CB55D84"/>
    <w:rsid w:val="6CCA10C6"/>
    <w:rsid w:val="6CD16D9F"/>
    <w:rsid w:val="6CD57A83"/>
    <w:rsid w:val="6CEB691A"/>
    <w:rsid w:val="6D300B44"/>
    <w:rsid w:val="6D470B22"/>
    <w:rsid w:val="6D7C5EDA"/>
    <w:rsid w:val="6DD527DD"/>
    <w:rsid w:val="6E152749"/>
    <w:rsid w:val="6E196650"/>
    <w:rsid w:val="6E702383"/>
    <w:rsid w:val="6EA7252B"/>
    <w:rsid w:val="6EB71D46"/>
    <w:rsid w:val="6EBC2081"/>
    <w:rsid w:val="6EC379D0"/>
    <w:rsid w:val="6F012E80"/>
    <w:rsid w:val="6F0E1886"/>
    <w:rsid w:val="6F2311C6"/>
    <w:rsid w:val="6F4C48AA"/>
    <w:rsid w:val="6F796531"/>
    <w:rsid w:val="6F7C600F"/>
    <w:rsid w:val="6FA42795"/>
    <w:rsid w:val="6FAA0DB1"/>
    <w:rsid w:val="70890DFD"/>
    <w:rsid w:val="70F975D3"/>
    <w:rsid w:val="70FE7B2A"/>
    <w:rsid w:val="719E7B17"/>
    <w:rsid w:val="71B975A9"/>
    <w:rsid w:val="727E6863"/>
    <w:rsid w:val="7281763A"/>
    <w:rsid w:val="72A52E73"/>
    <w:rsid w:val="72D62472"/>
    <w:rsid w:val="72DA01FB"/>
    <w:rsid w:val="72F07796"/>
    <w:rsid w:val="734767E5"/>
    <w:rsid w:val="7373254F"/>
    <w:rsid w:val="73900FD1"/>
    <w:rsid w:val="74131BD1"/>
    <w:rsid w:val="743176A5"/>
    <w:rsid w:val="743B1979"/>
    <w:rsid w:val="74556A84"/>
    <w:rsid w:val="74784C9F"/>
    <w:rsid w:val="74936771"/>
    <w:rsid w:val="759047C8"/>
    <w:rsid w:val="75F671CB"/>
    <w:rsid w:val="76BE5FA4"/>
    <w:rsid w:val="76E31444"/>
    <w:rsid w:val="76F62C8F"/>
    <w:rsid w:val="773B4162"/>
    <w:rsid w:val="776C6418"/>
    <w:rsid w:val="77B82151"/>
    <w:rsid w:val="77C7063C"/>
    <w:rsid w:val="77C7628C"/>
    <w:rsid w:val="77E063F1"/>
    <w:rsid w:val="77FF3EC2"/>
    <w:rsid w:val="780E7E0C"/>
    <w:rsid w:val="781D5507"/>
    <w:rsid w:val="782B0DAD"/>
    <w:rsid w:val="78357769"/>
    <w:rsid w:val="784C1A4B"/>
    <w:rsid w:val="789C7BEB"/>
    <w:rsid w:val="79030B77"/>
    <w:rsid w:val="793123D4"/>
    <w:rsid w:val="79440332"/>
    <w:rsid w:val="794D1D0C"/>
    <w:rsid w:val="795131F3"/>
    <w:rsid w:val="79531675"/>
    <w:rsid w:val="797D4C86"/>
    <w:rsid w:val="7A0E3165"/>
    <w:rsid w:val="7A0E6C35"/>
    <w:rsid w:val="7A422074"/>
    <w:rsid w:val="7A585866"/>
    <w:rsid w:val="7A5C6DA7"/>
    <w:rsid w:val="7A930DD9"/>
    <w:rsid w:val="7AD17028"/>
    <w:rsid w:val="7B094ABA"/>
    <w:rsid w:val="7B0C752A"/>
    <w:rsid w:val="7B1034D3"/>
    <w:rsid w:val="7B3341F0"/>
    <w:rsid w:val="7B38572A"/>
    <w:rsid w:val="7BF872A0"/>
    <w:rsid w:val="7C212436"/>
    <w:rsid w:val="7C562469"/>
    <w:rsid w:val="7CA92570"/>
    <w:rsid w:val="7CAB0C7D"/>
    <w:rsid w:val="7CCE6169"/>
    <w:rsid w:val="7CD17822"/>
    <w:rsid w:val="7CD63A2E"/>
    <w:rsid w:val="7CE5135E"/>
    <w:rsid w:val="7D6A770B"/>
    <w:rsid w:val="7D6F69AF"/>
    <w:rsid w:val="7D712006"/>
    <w:rsid w:val="7D8F2A6C"/>
    <w:rsid w:val="7D9B4F60"/>
    <w:rsid w:val="7DC51C40"/>
    <w:rsid w:val="7DDC7BDC"/>
    <w:rsid w:val="7DF579F4"/>
    <w:rsid w:val="7E326710"/>
    <w:rsid w:val="7E377B0A"/>
    <w:rsid w:val="7E41512C"/>
    <w:rsid w:val="7E6A4716"/>
    <w:rsid w:val="7EC24A24"/>
    <w:rsid w:val="7EC87C3D"/>
    <w:rsid w:val="7ED23013"/>
    <w:rsid w:val="7F3D354B"/>
    <w:rsid w:val="7F574C08"/>
    <w:rsid w:val="7F79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toc 7"/>
    <w:basedOn w:val="1"/>
    <w:next w:val="1"/>
    <w:qFormat/>
    <w:uiPriority w:val="0"/>
    <w:pPr>
      <w:ind w:left="2520" w:leftChars="1200"/>
    </w:p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0"/>
  </w:style>
  <w:style w:type="paragraph" w:styleId="11">
    <w:name w:val="toc 4"/>
    <w:basedOn w:val="1"/>
    <w:next w:val="1"/>
    <w:qFormat/>
    <w:uiPriority w:val="0"/>
    <w:pPr>
      <w:ind w:left="1260" w:leftChars="600"/>
    </w:pPr>
  </w:style>
  <w:style w:type="paragraph" w:styleId="12">
    <w:name w:val="toc 6"/>
    <w:basedOn w:val="1"/>
    <w:next w:val="1"/>
    <w:qFormat/>
    <w:uiPriority w:val="0"/>
    <w:pPr>
      <w:ind w:left="2100" w:leftChars="1000"/>
    </w:pPr>
  </w:style>
  <w:style w:type="paragraph" w:styleId="13">
    <w:name w:val="toc 2"/>
    <w:basedOn w:val="1"/>
    <w:next w:val="1"/>
    <w:qFormat/>
    <w:uiPriority w:val="0"/>
    <w:pPr>
      <w:ind w:left="420" w:leftChars="200"/>
    </w:pPr>
  </w:style>
  <w:style w:type="paragraph" w:styleId="14">
    <w:name w:val="toc 9"/>
    <w:basedOn w:val="1"/>
    <w:next w:val="1"/>
    <w:qFormat/>
    <w:uiPriority w:val="0"/>
    <w:pPr>
      <w:ind w:left="3360" w:leftChars="16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20">
    <w:name w:val="List Paragraph"/>
    <w:basedOn w:val="1"/>
    <w:qFormat/>
    <w:uiPriority w:val="34"/>
    <w:pPr>
      <w:ind w:left="720"/>
      <w:contextualSpacing/>
    </w:pPr>
  </w:style>
  <w:style w:type="paragraph" w:customStyle="1" w:styleId="21">
    <w:name w:val="列出段落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Atlas Copco</Company>
  <Pages>1</Pages>
  <Words>254</Words>
  <Characters>1453</Characters>
  <Lines>12</Lines>
  <Paragraphs>3</Paragraphs>
  <TotalTime>10</TotalTime>
  <ScaleCrop>false</ScaleCrop>
  <LinksUpToDate>false</LinksUpToDate>
  <CharactersWithSpaces>1704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jiangbin</dc:creator>
  <cp:lastModifiedBy>温斌和</cp:lastModifiedBy>
  <cp:lastPrinted>2017-11-20T07:18:00Z</cp:lastPrinted>
  <dcterms:modified xsi:type="dcterms:W3CDTF">2025-09-24T06:30:22Z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