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sdt>
      <w:sdt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alias w:val="标题"/>
        <w:id w:val="195312638"/>
        <w:placeholder>
          <w:docPart w:val="{483d5c73-7631-4c47-9e8b-54b4a6375602}"/>
        </w:placeholder>
        <w15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sdtEndPr>
      <w:sdtContent>
        <w:p>
          <w:pPr>
            <w:pStyle w:val="5"/>
            <w:rPr>
              <w:color w:val="000000" w:themeColor="text1"/>
              <w14:textFill>
                <w14:solidFill>
                  <w14:schemeClr w14:val="tx1"/>
                </w14:solidFill>
              </w14:textFill>
            </w:rPr>
          </w:pPr>
          <w:r>
            <w:rPr>
              <w:rFonts w:hint="eastAsia"/>
              <w:color w:val="000000" w:themeColor="text1"/>
              <w:lang w:val="en-US" w:eastAsia="zh-CN"/>
              <w14:textFill>
                <w14:solidFill>
                  <w14:schemeClr w14:val="tx1"/>
                </w14:solidFill>
              </w14:textFill>
            </w:rPr>
            <w:t>国内B款常规单冷空调技术要求</w:t>
          </w:r>
        </w:p>
      </w:sdtContent>
    </w:sdt>
    <w:p>
      <w:pPr>
        <w:pStyle w:val="2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公路车型单冷空调机械部分</w:t>
      </w:r>
    </w:p>
    <w:p>
      <w:pPr>
        <w:pStyle w:val="4"/>
        <w:spacing w:before="156" w:after="156"/>
        <w:ind w:left="578" w:hanging="5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空调技术性能要求</w:t>
      </w:r>
    </w:p>
    <w:p>
      <w:pPr>
        <w:pStyle w:val="3"/>
        <w:ind w:firstLine="508" w:firstLineChars="242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汽车空调器满足GB/T 21361-20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17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 xml:space="preserve"> 汽车用空调器标准所规定型式和基本参数、要求、试验和检验规则等内容，汽车空调器的各部件需满足国家和行业相关法规和技术标准。</w:t>
      </w:r>
    </w:p>
    <w:p>
      <w:pPr>
        <w:pStyle w:val="3"/>
        <w:ind w:firstLine="508" w:firstLineChars="242"/>
        <w:rPr>
          <w:rFonts w:hint="eastAsia" w:ascii="黑体" w:hAnsi="宋体" w:eastAsia="黑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名义制冷量：≥28KW，名义送风量≥6000m</w:t>
      </w:r>
      <w:r>
        <w:rPr>
          <w:rFonts w:hint="eastAsia" w:ascii="黑体" w:hAnsi="宋体" w:eastAsia="黑体"/>
          <w:color w:val="000000" w:themeColor="text1"/>
          <w:vertAlign w:val="superscript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/h。</w:t>
      </w:r>
    </w:p>
    <w:p>
      <w:pPr>
        <w:pStyle w:val="3"/>
        <w:ind w:firstLine="508" w:firstLineChars="242"/>
        <w:rPr>
          <w:rFonts w:hint="default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color w:val="000000" w:themeColor="text1"/>
          <w14:textFill>
            <w14:solidFill>
              <w14:schemeClr w14:val="tx1"/>
            </w14:solidFill>
          </w14:textFill>
        </w:rPr>
        <w:t>注：所有空调必须提供合肥所检测报告，检测报告须含名义制冷量、名义送风量和压缩机驱动功率三项技术参数。</w:t>
      </w:r>
      <w:r>
        <w:rPr>
          <w:rFonts w:hint="eastAsia" w:ascii="黑体" w:hAnsi="宋体" w:eastAsia="黑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合肥所检测报告名义制冷的数值不低于上述值。</w:t>
      </w:r>
    </w:p>
    <w:p>
      <w:pPr>
        <w:pStyle w:val="4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配置要求</w:t>
      </w:r>
    </w:p>
    <w:p>
      <w:pPr>
        <w:pStyle w:val="3"/>
        <w:ind w:firstLine="42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不包含压缩机安装的支架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皮带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空调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无电瓶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发电机、电容、发电机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搭</w:t>
      </w:r>
      <w:bookmarkStart w:id="0" w:name="_GoBack"/>
      <w:bookmarkEnd w:id="0"/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铁线、冷媒</w:t>
      </w:r>
      <w:r>
        <w:rPr>
          <w:rFonts w:hint="eastAsia" w:ascii="宋体" w:hAnsi="宋体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宋体" w:hAnsi="宋体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回风格栅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和密封胶，包括其它涉及空调安装的所有部件。</w:t>
      </w:r>
    </w:p>
    <w:p>
      <w:pPr>
        <w:pStyle w:val="3"/>
        <w:ind w:firstLine="420"/>
        <w:rPr>
          <w:rFonts w:ascii="宋体" w:hAnsi="宋体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具体配置要求如下：</w:t>
      </w:r>
    </w:p>
    <w:p>
      <w:pPr>
        <w:pStyle w:val="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配置国产奥柯压缩机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冷凝风扇可由压力传感器控制风量。</w:t>
      </w:r>
    </w:p>
    <w:p>
      <w:pPr>
        <w:pStyle w:val="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配置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新风</w:t>
      </w:r>
      <w:r>
        <w:rPr>
          <w:rFonts w:hint="eastAsia"/>
          <w:color w:val="FF0000"/>
          <w:lang w:eastAsia="zh-CN"/>
        </w:rPr>
        <w:t>（</w:t>
      </w:r>
      <w:r>
        <w:rPr>
          <w:rFonts w:hint="eastAsia"/>
          <w:color w:val="FF0000"/>
          <w:lang w:val="en-US" w:eastAsia="zh-CN"/>
        </w:rPr>
        <w:t>新风量≥1300m</w:t>
      </w:r>
      <w:r>
        <w:rPr>
          <w:rFonts w:hint="eastAsia"/>
          <w:color w:val="FF0000"/>
          <w:vertAlign w:val="superscript"/>
          <w:lang w:val="en-US" w:eastAsia="zh-CN"/>
        </w:rPr>
        <w:t>3</w:t>
      </w:r>
      <w:r>
        <w:rPr>
          <w:rFonts w:hint="eastAsia"/>
          <w:color w:val="FF0000"/>
          <w:lang w:val="en-US" w:eastAsia="zh-CN"/>
        </w:rPr>
        <w:t>/h）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p>
      <w:pPr>
        <w:pStyle w:val="3"/>
        <w:numPr>
          <w:ilvl w:val="0"/>
          <w:numId w:val="2"/>
        </w:numPr>
        <w:ind w:firstLineChars="0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采用</w:t>
      </w:r>
      <w:r>
        <w:rPr>
          <w:rFonts w:hint="eastAsia" w:ascii="宋体" w:hAnsi="宋体"/>
          <w:color w:val="000000" w:themeColor="text1"/>
          <w14:textFill>
            <w14:solidFill>
              <w14:schemeClr w14:val="tx1"/>
            </w14:solidFill>
          </w14:textFill>
        </w:rPr>
        <w:t>国产蒸发风机、国产冷凝风机、进口膨胀阀、国产干燥过滤器、国产空调控制器、国产视液镜、国产接插件和继电器、高低压铝管和国产软管。</w:t>
      </w:r>
    </w:p>
    <w:p>
      <w:pPr>
        <w:pStyle w:val="4"/>
        <w:spacing w:before="156" w:after="156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结构要求</w:t>
      </w:r>
    </w:p>
    <w:p>
      <w:pPr>
        <w:pStyle w:val="3"/>
        <w:numPr>
          <w:ilvl w:val="0"/>
          <w:numId w:val="3"/>
        </w:numPr>
        <w:ind w:firstLine="420"/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全部为非独立顶置式空调。</w:t>
      </w:r>
    </w:p>
    <w:p>
      <w:pPr>
        <w:pStyle w:val="3"/>
        <w:numPr>
          <w:ilvl w:val="0"/>
          <w:numId w:val="3"/>
        </w:numPr>
        <w:ind w:firstLine="420"/>
        <w:rPr>
          <w:rFonts w:hint="eastAsia"/>
          <w:color w:val="0000FF"/>
        </w:rPr>
      </w:pPr>
      <w:r>
        <w:rPr>
          <w:rFonts w:hint="eastAsia"/>
          <w:color w:val="0000FF"/>
        </w:rPr>
        <w:t>空调与前部造型有匹配要求，空调罩外形需满足</w:t>
      </w:r>
      <w:r>
        <w:rPr>
          <w:rFonts w:hint="eastAsia"/>
          <w:color w:val="0000FF"/>
          <w:lang w:eastAsia="zh-CN"/>
        </w:rPr>
        <w:t>。</w:t>
      </w:r>
    </w:p>
    <w:p>
      <w:pPr>
        <w:pStyle w:val="4"/>
        <w:spacing w:before="156" w:after="156"/>
        <w:ind w:left="578" w:hanging="5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选装要求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提供进口比泽尔和</w:t>
      </w:r>
      <w:r>
        <w:rPr>
          <w:rFonts w:hint="default"/>
          <w:color w:val="FF0000"/>
          <w:lang w:eastAsia="zh-CN"/>
        </w:rPr>
        <w:t>博客K版压缩机和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博客N版压缩机的配置及相应增配差价。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提供压缩机增加能调配置及相应增配差价。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提供整套配置进口AMP接插件和博世继电器配置及相应增配差价。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提供回风格栅配置及相应增配差价。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提供取消空调控制器，直接整车中控大屏控制</w:t>
      </w:r>
      <w:r>
        <w:rPr>
          <w:rFonts w:hint="eastAsia"/>
          <w:color w:val="0000FF"/>
          <w:lang w:val="en-US" w:eastAsia="zh-CN"/>
        </w:rPr>
        <w:t>（采用CAN控制）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选项的减配差价。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提供选装进口斯派尔风机配置及相应增配差价。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提供取消司机控制线束的减配差价。</w:t>
      </w:r>
    </w:p>
    <w:p>
      <w:pPr>
        <w:pStyle w:val="3"/>
        <w:numPr>
          <w:ilvl w:val="0"/>
          <w:numId w:val="4"/>
        </w:numPr>
        <w:rPr>
          <w:rFonts w:hint="default"/>
          <w:color w:val="FF0000"/>
          <w:lang w:val="en-US" w:eastAsia="zh-CN"/>
        </w:rPr>
      </w:pPr>
      <w:r>
        <w:rPr>
          <w:rFonts w:hint="default"/>
          <w:color w:val="FF0000"/>
          <w:highlight w:val="none"/>
          <w:lang w:eastAsia="zh-CN"/>
        </w:rPr>
        <w:t>提供选配压缩机支架及支架内皮带的相应增配差价</w:t>
      </w:r>
      <w:r>
        <w:rPr>
          <w:rFonts w:hint="eastAsia"/>
          <w:color w:val="FF0000"/>
          <w:highlight w:val="none"/>
          <w:lang w:eastAsia="zh-CN"/>
        </w:rPr>
        <w:t>。</w:t>
      </w:r>
    </w:p>
    <w:p>
      <w:pPr>
        <w:pStyle w:val="3"/>
        <w:numPr>
          <w:ilvl w:val="0"/>
          <w:numId w:val="4"/>
        </w:num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highlight w:val="none"/>
          <w:lang w:val="en-US" w:eastAsia="zh-CN"/>
        </w:rPr>
        <w:t>提供自带冷媒和安装密封胶的相应增配差价。</w:t>
      </w:r>
    </w:p>
    <w:p>
      <w:pPr>
        <w:pStyle w:val="3"/>
        <w:numPr>
          <w:ilvl w:val="0"/>
          <w:numId w:val="4"/>
        </w:numPr>
        <w:rPr>
          <w:rFonts w:hint="default"/>
          <w:color w:val="0000FF"/>
          <w:lang w:val="en-US" w:eastAsia="zh-CN"/>
        </w:rPr>
      </w:pPr>
      <w:r>
        <w:rPr>
          <w:rFonts w:hint="eastAsia"/>
          <w:color w:val="0000FF"/>
          <w:highlight w:val="none"/>
          <w:lang w:val="en-US" w:eastAsia="zh-CN"/>
        </w:rPr>
        <w:t>提供高低压铝管更改为铜管的增配差价。</w:t>
      </w:r>
    </w:p>
    <w:p>
      <w:pPr>
        <w:pStyle w:val="4"/>
        <w:spacing w:before="156" w:after="156"/>
        <w:ind w:left="578" w:hanging="578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其它要求</w:t>
      </w:r>
    </w:p>
    <w:p>
      <w:pPr>
        <w:numPr>
          <w:ilvl w:val="0"/>
          <w:numId w:val="5"/>
        </w:numPr>
        <w:ind w:left="210" w:leftChars="0" w:firstLine="210" w:firstLineChars="100"/>
        <w:jc w:val="both"/>
        <w:rPr>
          <w:rFonts w:hint="eastAsia" w:asci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FF0000"/>
          <w:lang w:val="en-US" w:eastAsia="zh-CN"/>
        </w:rPr>
        <w:t>满足</w:t>
      </w:r>
      <w:r>
        <w:rPr>
          <w:rFonts w:hint="default"/>
          <w:color w:val="FF0000"/>
          <w:lang w:eastAsia="zh-CN"/>
        </w:rPr>
        <w:t>GB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default"/>
          <w:color w:val="FF0000"/>
          <w:lang w:eastAsia="zh-CN"/>
        </w:rPr>
        <w:t>44495-2024《汽车整车信息安全技术要求》、GB</w:t>
      </w:r>
      <w:r>
        <w:rPr>
          <w:rFonts w:hint="eastAsia"/>
          <w:color w:val="FF0000"/>
          <w:lang w:val="en-US" w:eastAsia="zh-CN"/>
        </w:rPr>
        <w:t xml:space="preserve">/ </w:t>
      </w:r>
      <w:r>
        <w:rPr>
          <w:rFonts w:hint="default"/>
          <w:color w:val="FF0000"/>
          <w:lang w:eastAsia="zh-CN"/>
        </w:rPr>
        <w:t>T44464-2024《汽车数据通用要求》以及GB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default"/>
          <w:color w:val="FF0000"/>
          <w:lang w:eastAsia="zh-CN"/>
        </w:rPr>
        <w:t>44496-2024《汽车软件升级通用技术要求》。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其它未提及事项满足GB 21361-2017 《汽车用空调器》，并提供标准中表10的型式检验的20项报告。</w:t>
      </w:r>
    </w:p>
    <w:p>
      <w:pPr>
        <w:numPr>
          <w:ilvl w:val="0"/>
          <w:numId w:val="5"/>
        </w:numPr>
        <w:ind w:left="210" w:leftChars="0" w:firstLine="210" w:firstLineChars="100"/>
        <w:jc w:val="both"/>
        <w:rPr>
          <w:rFonts w:hint="eastAsia" w:ascii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空调面板采用旋钮式，满足与整车CAN通讯要求。</w:t>
      </w:r>
    </w:p>
    <w:p>
      <w:pPr>
        <w:numPr>
          <w:ilvl w:val="0"/>
          <w:numId w:val="5"/>
        </w:numPr>
        <w:ind w:left="210" w:leftChars="0" w:firstLine="210" w:firstLineChars="100"/>
        <w:jc w:val="both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环保性要求：环保要求满足以下要求，以下是部分材质（塑料类、玻璃钢、橡胶和隔热材料）的限值要求：见表1。空调所有部件禁止含石棉成分。</w:t>
      </w:r>
    </w:p>
    <w:p>
      <w:pP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1</w:t>
      </w:r>
    </w:p>
    <w:tbl>
      <w:tblPr>
        <w:tblStyle w:val="7"/>
        <w:tblW w:w="8414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2111"/>
        <w:gridCol w:w="1512"/>
        <w:gridCol w:w="1460"/>
        <w:gridCol w:w="264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检测方法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检测项目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限值要求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default" w:ascii="宋体" w:hAnsi="宋体" w:eastAsiaTheme="minorEastAsia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275</w:t>
            </w:r>
          </w:p>
        </w:tc>
        <w:tc>
          <w:tcPr>
            <w:tcW w:w="1512" w:type="dxa"/>
            <w:vAlign w:val="center"/>
          </w:tcPr>
          <w:p>
            <w:pPr>
              <w:rPr>
                <w:rFonts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甲醛</w:t>
            </w:r>
          </w:p>
        </w:tc>
        <w:tc>
          <w:tcPr>
            <w:tcW w:w="1460" w:type="dxa"/>
            <w:vAlign w:val="center"/>
          </w:tcPr>
          <w:p>
            <w:pPr>
              <w:rPr>
                <w:rFonts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＜10mg/kg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</w:trPr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TVOC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50µg C/g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苯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＜5µg/g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甲苯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＜5µg/g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VDA 277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二甲苯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＜15µg/g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111" w:type="dxa"/>
            <w:vAlign w:val="top"/>
          </w:tcPr>
          <w:p>
            <w:pPr>
              <w:rPr>
                <w:rFonts w:hint="default" w:ascii="宋体" w:hAnsi="宋体" w:eastAsiaTheme="minorEastAsia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DIN 75201-B</w:t>
            </w:r>
          </w:p>
        </w:tc>
        <w:tc>
          <w:tcPr>
            <w:tcW w:w="1512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雾气试验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mg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Merge w:val="restart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111" w:type="dxa"/>
            <w:vMerge w:val="restart"/>
            <w:vAlign w:val="top"/>
          </w:tcPr>
          <w:p>
            <w:pPr>
              <w:rPr>
                <w:rFonts w:hint="default" w:ascii="宋体" w:hAnsi="宋体" w:eastAsiaTheme="minorEastAsia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VDA 270 方案C </w:t>
            </w:r>
          </w:p>
        </w:tc>
        <w:tc>
          <w:tcPr>
            <w:tcW w:w="1512" w:type="dxa"/>
            <w:vMerge w:val="restart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气味试验</w:t>
            </w: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23℃/40℃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2" w:type="dxa"/>
            <w:vMerge w:val="continue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1" w:type="dxa"/>
            <w:vMerge w:val="continue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12" w:type="dxa"/>
            <w:vMerge w:val="continue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60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≤3.5</w:t>
            </w:r>
          </w:p>
        </w:tc>
        <w:tc>
          <w:tcPr>
            <w:tcW w:w="2649" w:type="dxa"/>
            <w:vAlign w:val="top"/>
          </w:tcPr>
          <w:p>
            <w:pP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80℃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4" w:type="dxa"/>
            <w:gridSpan w:val="5"/>
            <w:vAlign w:val="top"/>
          </w:tcPr>
          <w:p>
            <w:pPr>
              <w:ind w:firstLine="315" w:firstLineChars="175"/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bCs/>
                <w:color w:val="000000" w:themeColor="text1"/>
                <w:sz w:val="18"/>
                <w14:textFill>
                  <w14:solidFill>
                    <w14:schemeClr w14:val="tx1"/>
                  </w14:solidFill>
                </w14:textFill>
              </w:rPr>
              <w:t>注：材料的环保性还需满足相关的国家标准及行业标准。</w:t>
            </w:r>
          </w:p>
        </w:tc>
      </w:tr>
    </w:tbl>
    <w:p>
      <w:pPr>
        <w:numPr>
          <w:ilvl w:val="0"/>
          <w:numId w:val="0"/>
        </w:numPr>
        <w:spacing w:line="360" w:lineRule="auto"/>
        <w:ind w:leftChars="100" w:firstLine="210" w:firstLineChars="100"/>
        <w:outlineLvl w:val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（4）阻燃性要求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制冷装置中玻璃钢阻燃性能按GB 8410 的试验方法，其水平燃烧速度小于等于50mm/min；橡胶、橡胶制品、隔热材料阻燃性能应达到JT/T 1095表2中其他保温、隔热、降噪、减振材料对应的要求；其它非金属件阻燃性能要求满足GB 8410的试验方法，其水平燃烧速度小于等于50mm/min。</w:t>
      </w:r>
    </w:p>
    <w:p>
      <w:pPr>
        <w:numPr>
          <w:ilvl w:val="0"/>
          <w:numId w:val="0"/>
        </w:numPr>
        <w:spacing w:line="360" w:lineRule="auto"/>
        <w:ind w:leftChars="100" w:firstLine="210" w:firstLineChars="100"/>
        <w:outlineLvl w:val="0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（5）电磁兼容要求</w:t>
      </w:r>
    </w:p>
    <w:p>
      <w:pPr>
        <w:numPr>
          <w:ilvl w:val="0"/>
          <w:numId w:val="0"/>
        </w:numPr>
        <w:ind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低压零部件的辐射发射（RE），满足GB/T 18655-2018中6.5.4节等级3限值要求（注：交叠频段选择严酷等级限值，GB/T 18655-2018未明确频段的限值按照临近限值直线连接确定，参考附录B）；低压零部件传导发射（CE）电压法满足GB/T 18655-2018中6.3.4节等级3限值要求（注：交叠频段选择严酷等级限值，GB/T 18655-2018未明确频段的限值按照临近限值直线连接确定，参考附录B）；瞬态传导发射（TCE）满足表2要求；射频抗扰（自由场/ALSE）在频率范围80MHz~3000MHz内采用GB/T 33014.2-2016附录C表C.1等级L3进行试验，满足功能状态等级A要求；射频抗扰（大电流注入/BCI）采用GB/T 33014.4-2016附录C表C.1等级L3进行试验，满足功能状态等级A要求；瞬态抗扰（电源线/TCS-P）满足表3要求；瞬态抗扰（信号线/TCS-S）采用GB/T 21437.3-2012附录B等级Ⅲ进行快脉冲、慢脉冲进行试验，满足功能状态等级A要求；静电放电抗扰（ESD）满足表4要求；便携式发射机抗扰（PTS）在频率范围360MHz~5.925GHz，采用表5规定功率进行试验，360MHz~2700MHz仅允许使用SBA9113+420NJ翼型天线用于本测试，2700MHz以上频段建议使用SBA 9119+NJ422天线用于本测试或ISO 11452-9-2012中附录B中规定的天线，满足功能状态等级A要求；电快速脉冲群抗扰（EFT）采用GB/T 17626.4第5节表1等级3进行试验，分别进行重复频率为5kHz、100kHz的试验，满足功能状态等级A要求。</w:t>
      </w: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</w:p>
    <w:tbl>
      <w:tblPr>
        <w:tblStyle w:val="7"/>
        <w:tblW w:w="639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9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脉冲分类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脉冲限值(V)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Merge w:val="continue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24V系统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正慢脉冲（毫秒范围或更慢）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负慢脉冲（毫秒范围或更慢）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正快脉冲（纳秒至微秒范围）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59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负快脉冲（纳秒至微秒范围）</w:t>
            </w:r>
          </w:p>
        </w:tc>
        <w:tc>
          <w:tcPr>
            <w:tcW w:w="2132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</w:t>
            </w:r>
          </w:p>
        </w:tc>
      </w:tr>
    </w:tbl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14:textFill>
            <w14:solidFill>
              <w14:schemeClr w14:val="tx1"/>
            </w14:solidFill>
          </w14:textFill>
        </w:rPr>
        <w:t>表</w:t>
      </w: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3</w:t>
      </w:r>
    </w:p>
    <w:tbl>
      <w:tblPr>
        <w:tblStyle w:val="7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3"/>
        <w:gridCol w:w="982"/>
        <w:gridCol w:w="980"/>
        <w:gridCol w:w="1350"/>
        <w:gridCol w:w="1348"/>
        <w:gridCol w:w="1558"/>
        <w:gridCol w:w="1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试验脉冲</w:t>
            </w:r>
          </w:p>
        </w:tc>
        <w:tc>
          <w:tcPr>
            <w:tcW w:w="1962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脉冲等级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(V)</w:t>
            </w:r>
          </w:p>
        </w:tc>
        <w:tc>
          <w:tcPr>
            <w:tcW w:w="1350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脉冲数/时间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脉冲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参数</w:t>
            </w:r>
          </w:p>
        </w:tc>
        <w:tc>
          <w:tcPr>
            <w:tcW w:w="1231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功能状态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350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12V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55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24V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系统</w:t>
            </w:r>
          </w:p>
        </w:tc>
        <w:tc>
          <w:tcPr>
            <w:tcW w:w="1231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-150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-600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500个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t1=0.5s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2a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+112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+112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500个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t1=0.2s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2b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+20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td=0.5s,Ri=0.05Ω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3a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-220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-300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1h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td=0.1μs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3b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+150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+300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1h</w:t>
            </w:r>
          </w:p>
        </w:tc>
        <w:tc>
          <w:tcPr>
            <w:tcW w:w="2906" w:type="dxa"/>
            <w:gridSpan w:val="2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td=0.1μs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-7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-16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t7=15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t8=50ms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t9=1s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t11=100ms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Ua=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-6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</w:t>
            </w:r>
          </w:p>
        </w:tc>
        <w:tc>
          <w:tcPr>
            <w:tcW w:w="155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t7=50ms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t8=50ms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t9=1s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t11=40ms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Ua=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-12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V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73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5a</w:t>
            </w:r>
          </w:p>
        </w:tc>
        <w:tc>
          <w:tcPr>
            <w:tcW w:w="982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+87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+174</w:t>
            </w:r>
          </w:p>
        </w:tc>
        <w:tc>
          <w:tcPr>
            <w:tcW w:w="135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1个</w:t>
            </w:r>
          </w:p>
        </w:tc>
        <w:tc>
          <w:tcPr>
            <w:tcW w:w="134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td=400ms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Ri=2Ω</w:t>
            </w:r>
          </w:p>
        </w:tc>
        <w:tc>
          <w:tcPr>
            <w:tcW w:w="1558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td=350ms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,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Ri=4Ω</w:t>
            </w:r>
          </w:p>
        </w:tc>
        <w:tc>
          <w:tcPr>
            <w:tcW w:w="123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7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注：智能监控及记录类含有备用电源供电的设备，脉冲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1和脉冲2b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满足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功能状态等级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A要求。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default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表4</w:t>
      </w:r>
    </w:p>
    <w:tbl>
      <w:tblPr>
        <w:tblStyle w:val="7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9"/>
        <w:gridCol w:w="1227"/>
        <w:gridCol w:w="726"/>
        <w:gridCol w:w="1471"/>
        <w:gridCol w:w="980"/>
        <w:gridCol w:w="1225"/>
        <w:gridCol w:w="859"/>
        <w:gridCol w:w="1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83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试验模式</w:t>
            </w: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放电试验位置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</w:t>
            </w:r>
          </w:p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模式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放电网络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严酷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放电次数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/测试点数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功能状态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等级</w:t>
            </w:r>
          </w:p>
        </w:tc>
        <w:tc>
          <w:tcPr>
            <w:tcW w:w="119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下电模式</w:t>
            </w: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引脚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接触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C=150pF,R=330Ω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±8kV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3次/个引脚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引脚可用线径0.5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2mm2且长度不超过25mm的导线进行辅助；表面选择应包含缝隙、螺钉等。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表面（非金属）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±15kV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接触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C=150pF,R=330Ω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±8kV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±15kV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上电模式</w:t>
            </w:r>
          </w:p>
        </w:tc>
        <w:tc>
          <w:tcPr>
            <w:tcW w:w="1227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表面（非金属）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restart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表面（金属）</w:t>
            </w: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接触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C=150pF,R=330Ω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±8kV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9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26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空气</w:t>
            </w:r>
          </w:p>
        </w:tc>
        <w:tc>
          <w:tcPr>
            <w:tcW w:w="1471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C=330pF,R=2kΩ</w:t>
            </w:r>
          </w:p>
        </w:tc>
        <w:tc>
          <w:tcPr>
            <w:tcW w:w="980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±</w:t>
            </w: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15</w:t>
            </w: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kV</w:t>
            </w:r>
          </w:p>
        </w:tc>
        <w:tc>
          <w:tcPr>
            <w:tcW w:w="1225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10个点</w:t>
            </w:r>
          </w:p>
        </w:tc>
        <w:tc>
          <w:tcPr>
            <w:tcW w:w="859" w:type="dxa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A</w:t>
            </w:r>
          </w:p>
        </w:tc>
        <w:tc>
          <w:tcPr>
            <w:tcW w:w="1195" w:type="dxa"/>
            <w:vMerge w:val="continue"/>
            <w:vAlign w:val="center"/>
          </w:tcPr>
          <w:p>
            <w:pPr>
              <w:spacing w:line="360" w:lineRule="auto"/>
              <w:jc w:val="left"/>
              <w:outlineLvl w:val="0"/>
              <w:rPr>
                <w:rFonts w:ascii="宋体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4200" w:firstLineChars="2000"/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ind w:firstLine="4200" w:firstLineChars="2000"/>
        <w:rPr>
          <w:rFonts w:hint="default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宋体" w:eastAsia="黑体"/>
          <w:bCs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表5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591"/>
        <w:gridCol w:w="170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频段用途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频率（</w:t>
            </w:r>
            <w:r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MHz</w:t>
            </w: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功率（</w:t>
            </w:r>
            <w:r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</w:t>
            </w: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rFonts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/>
                <w:b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调制方式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RKE、对讲机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360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4.5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PM，18Hz，50%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GSM800/900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1000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7.0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GSM1800/1900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1600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1950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1.5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3G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1950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2200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0.75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LTE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2300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WIFI、</w:t>
            </w:r>
            <w:r>
              <w:rPr>
                <w:rFonts w:hint="eastAsia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蓝牙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2400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0.1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PM，1600Hz，50%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LTE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2500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2700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PM，217Hz，12.5%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5G/IMT-2020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3300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3800</w:t>
            </w:r>
          </w:p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4800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5000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0.25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PM，700kHz，50%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802.11A、11a、V2X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5150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5350</w:t>
            </w:r>
          </w:p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5725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5850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PM，1600Hz，50%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7" w:type="dxa"/>
            <w:vAlign w:val="top"/>
          </w:tcPr>
          <w:p>
            <w:pPr>
              <w:spacing w:line="360" w:lineRule="auto"/>
              <w:jc w:val="left"/>
              <w:outlineLvl w:val="0"/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Calibri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2591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802.11A、11p、V2X</w:t>
            </w:r>
          </w:p>
        </w:tc>
        <w:tc>
          <w:tcPr>
            <w:tcW w:w="1704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5850</w:t>
            </w:r>
            <w:r>
              <w:rPr>
                <w:rFonts w:ascii="Times New Roman" w:cs="Times New Roman"/>
                <w:b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~</w:t>
            </w: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5925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0.5</w:t>
            </w:r>
          </w:p>
        </w:tc>
        <w:tc>
          <w:tcPr>
            <w:tcW w:w="1705" w:type="dxa"/>
            <w:vAlign w:val="center"/>
          </w:tcPr>
          <w:p>
            <w:pPr>
              <w:pStyle w:val="9"/>
              <w:ind w:firstLine="0"/>
              <w:jc w:val="center"/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PM，1600Hz，50%</w:t>
            </w:r>
          </w:p>
        </w:tc>
      </w:tr>
    </w:tbl>
    <w:p>
      <w:pPr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ind w:firstLine="420" w:firstLineChars="200"/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（6）质保3年。</w:t>
      </w:r>
    </w:p>
    <w:p>
      <w:pPr>
        <w:numPr>
          <w:ilvl w:val="0"/>
          <w:numId w:val="0"/>
        </w:numPr>
        <w:ind w:leftChars="0" w:firstLine="420" w:firstLineChars="200"/>
        <w:jc w:val="both"/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0"/>
        </w:numPr>
        <w:jc w:val="both"/>
        <w:rPr>
          <w:rFonts w:hint="default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BB53B8"/>
    <w:multiLevelType w:val="singleLevel"/>
    <w:tmpl w:val="DDBB53B8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25758CA4"/>
    <w:multiLevelType w:val="singleLevel"/>
    <w:tmpl w:val="25758CA4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364908CB"/>
    <w:multiLevelType w:val="singleLevel"/>
    <w:tmpl w:val="364908CB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3AD06EC3"/>
    <w:multiLevelType w:val="multilevel"/>
    <w:tmpl w:val="3AD06EC3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>
    <w:nsid w:val="68DF71B5"/>
    <w:multiLevelType w:val="multilevel"/>
    <w:tmpl w:val="68DF71B5"/>
    <w:lvl w:ilvl="0" w:tentative="0">
      <w:start w:val="1"/>
      <w:numFmt w:val="decimal"/>
      <w:lvlText w:val="（%1）"/>
      <w:lvlJc w:val="left"/>
      <w:pPr>
        <w:ind w:left="1430" w:hanging="72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FB5D4A"/>
    <w:rsid w:val="0D3256A8"/>
    <w:rsid w:val="0D4E7F0D"/>
    <w:rsid w:val="0ED92C9F"/>
    <w:rsid w:val="0FFF0293"/>
    <w:rsid w:val="11952A71"/>
    <w:rsid w:val="131C39A3"/>
    <w:rsid w:val="137A2FF9"/>
    <w:rsid w:val="16AE0540"/>
    <w:rsid w:val="170C056E"/>
    <w:rsid w:val="176B5FA8"/>
    <w:rsid w:val="176F76DB"/>
    <w:rsid w:val="1B0B5E34"/>
    <w:rsid w:val="1B5801D1"/>
    <w:rsid w:val="1C72197B"/>
    <w:rsid w:val="1FA5650B"/>
    <w:rsid w:val="21655DD7"/>
    <w:rsid w:val="22371ADD"/>
    <w:rsid w:val="22596180"/>
    <w:rsid w:val="23927B6A"/>
    <w:rsid w:val="25444C99"/>
    <w:rsid w:val="2B0421C8"/>
    <w:rsid w:val="2C7753C1"/>
    <w:rsid w:val="2E144DD4"/>
    <w:rsid w:val="2F330E46"/>
    <w:rsid w:val="30587233"/>
    <w:rsid w:val="32337BD8"/>
    <w:rsid w:val="329E195D"/>
    <w:rsid w:val="342D100D"/>
    <w:rsid w:val="368D26F7"/>
    <w:rsid w:val="382D6B0F"/>
    <w:rsid w:val="39352DB5"/>
    <w:rsid w:val="39625617"/>
    <w:rsid w:val="3A6212CC"/>
    <w:rsid w:val="3A9567A9"/>
    <w:rsid w:val="3C9A6D57"/>
    <w:rsid w:val="3CF97D64"/>
    <w:rsid w:val="471767F2"/>
    <w:rsid w:val="49011B36"/>
    <w:rsid w:val="498C27E0"/>
    <w:rsid w:val="4B3648AF"/>
    <w:rsid w:val="4CF27B94"/>
    <w:rsid w:val="4E6E713A"/>
    <w:rsid w:val="52222C3C"/>
    <w:rsid w:val="52A744CA"/>
    <w:rsid w:val="54D904CD"/>
    <w:rsid w:val="60865693"/>
    <w:rsid w:val="609A70CD"/>
    <w:rsid w:val="60BE58FF"/>
    <w:rsid w:val="60ED682D"/>
    <w:rsid w:val="611D01A1"/>
    <w:rsid w:val="630D1821"/>
    <w:rsid w:val="63400EB6"/>
    <w:rsid w:val="64C9161A"/>
    <w:rsid w:val="650E1DCC"/>
    <w:rsid w:val="683259EB"/>
    <w:rsid w:val="68AD02DD"/>
    <w:rsid w:val="68C23EBE"/>
    <w:rsid w:val="68F36A49"/>
    <w:rsid w:val="69994C4A"/>
    <w:rsid w:val="6AB8537F"/>
    <w:rsid w:val="6B4C4F73"/>
    <w:rsid w:val="6D227366"/>
    <w:rsid w:val="6D274CAD"/>
    <w:rsid w:val="6F32196B"/>
    <w:rsid w:val="71B9026C"/>
    <w:rsid w:val="745716D2"/>
    <w:rsid w:val="75464122"/>
    <w:rsid w:val="76D442AB"/>
    <w:rsid w:val="77560952"/>
    <w:rsid w:val="777503A4"/>
    <w:rsid w:val="77EC00FF"/>
    <w:rsid w:val="788856BE"/>
    <w:rsid w:val="7A466D75"/>
    <w:rsid w:val="7AEE046A"/>
    <w:rsid w:val="7B1F78E2"/>
    <w:rsid w:val="7E9C5932"/>
    <w:rsid w:val="7EC97555"/>
    <w:rsid w:val="7F08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numPr>
        <w:ilvl w:val="0"/>
        <w:numId w:val="1"/>
      </w:numPr>
      <w:spacing w:beforeLines="50" w:afterLines="50"/>
      <w:ind w:left="431" w:hanging="431"/>
      <w:jc w:val="left"/>
      <w:outlineLvl w:val="0"/>
    </w:pPr>
    <w:rPr>
      <w:rFonts w:eastAsia="黑体"/>
      <w:b/>
      <w:sz w:val="28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numPr>
        <w:ilvl w:val="1"/>
        <w:numId w:val="1"/>
      </w:numPr>
      <w:spacing w:beforeLines="50" w:afterLines="50"/>
      <w:outlineLvl w:val="1"/>
    </w:pPr>
    <w:rPr>
      <w:rFonts w:eastAsia="黑体" w:asciiTheme="majorHAnsi" w:hAnsiTheme="majorHAnsi" w:cstheme="majorBidi"/>
      <w:b/>
      <w:bCs/>
      <w:sz w:val="24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正文内容"/>
    <w:basedOn w:val="1"/>
    <w:qFormat/>
    <w:uiPriority w:val="0"/>
    <w:pPr>
      <w:ind w:firstLine="200" w:firstLineChars="200"/>
    </w:pPr>
  </w:style>
  <w:style w:type="paragraph" w:styleId="5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eastAsia="黑体" w:asciiTheme="majorHAnsi" w:hAnsiTheme="majorHAnsi" w:cstheme="majorBidi"/>
      <w:b/>
      <w:bCs/>
      <w:sz w:val="36"/>
      <w:szCs w:val="32"/>
    </w:rPr>
  </w:style>
  <w:style w:type="table" w:styleId="8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widowControl/>
      <w:ind w:firstLine="420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483d5c73-7631-4c47-9e8b-54b4a637560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483d5c73-7631-4c47-9e8b-54b4a6375602}"/>
      </w:docPartPr>
      <w:docPartBody>
        <w:p>
          <w:pPr>
            <w:pStyle w:val="2"/>
          </w:pPr>
          <w:r>
            <w:rPr>
              <w:rStyle w:val="3"/>
              <w:rFonts w:hint="eastAsia"/>
            </w:rPr>
            <w:t>[标题]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iPriority="1" w:semiHidden="0" w:name="Default Paragraph Font"/>
  </w:latentStyles>
  <w:style w:type="character" w:default="1" w:styleId="1">
    <w:name w:val="Default Paragraph Font"/>
    <w:unhideWhenUsed/>
    <w:qFormat/>
    <w:uiPriority w:val="1"/>
  </w:style>
  <w:style w:type="paragraph" w:customStyle="1" w:styleId="2">
    <w:name w:val="64902AE2726A46ADBA274CBBAF98F60F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">
    <w:name w:val="Placeholder Text"/>
    <w:basedOn w:val="1"/>
    <w:semiHidden/>
    <w:qFormat/>
    <w:uiPriority w:val="99"/>
    <w:rPr>
      <w:color w:val="808080"/>
    </w:rPr>
  </w:style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1792</Words>
  <Characters>2729</Characters>
  <Lines>0</Lines>
  <Paragraphs>0</Paragraphs>
  <TotalTime>0</TotalTime>
  <ScaleCrop>false</ScaleCrop>
  <LinksUpToDate>false</LinksUpToDate>
  <CharactersWithSpaces>2757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fenghh</dc:creator>
  <cp:lastModifiedBy>fenghh</cp:lastModifiedBy>
  <dcterms:modified xsi:type="dcterms:W3CDTF">2026-07-27T08:43:43Z</dcterms:modified>
  <dc:title>国内B款常规单冷空调技术要求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F793E1EA73BF4995941B2FC5DF678D35_13</vt:lpwstr>
  </property>
  <property fmtid="{D5CDD505-2E9C-101B-9397-08002B2CF9AE}" pid="4" name="KSOTemplateDocerSaveRecord">
    <vt:lpwstr>eyJoZGlkIjoiNmNkZjRmNDZkMzZhOWRhMGJkMTg2ODEyMjVjNGU2OGMiLCJ1c2VySWQiOiIyMTc0MTgzMDUifQ==</vt:lpwstr>
  </property>
</Properties>
</file>