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alias w:val="标题"/>
        <w:id w:val="195312638"/>
        <w:placeholder>
          <w:docPart w:val="{5a8e1728-d3a5-4182-b391-5f1b84145c90}"/>
        </w:placeholder>
        <w15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sdtEndPr>
      <w:sdtContent>
        <w:p>
          <w:pPr>
            <w:pStyle w:val="4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国内C款纯电动空调技术要求</w:t>
          </w:r>
        </w:p>
      </w:sdtContent>
    </w:sdt>
    <w:p>
      <w:pPr>
        <w:pStyle w:val="2"/>
        <w:numPr>
          <w:ilvl w:val="1"/>
          <w:numId w:val="0"/>
        </w:numPr>
        <w:spacing w:before="156" w:after="156"/>
        <w:ind w:left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空调技术性能要求</w:t>
      </w:r>
    </w:p>
    <w:p>
      <w:pPr>
        <w:pStyle w:val="3"/>
        <w:ind w:firstLine="508" w:firstLineChars="242"/>
        <w:rPr>
          <w:rFonts w:hint="default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纯电动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空调器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满足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GB/T 37123-2018 </w:t>
      </w:r>
      <w:r>
        <w:rPr>
          <w:rFonts w:hint="eastAsia" w:ascii="宋体" w:hAnsi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汽车用电动驱动空调器》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所规定型式和基本参数、要求、试验和检验规则等内容</w:t>
      </w:r>
      <w:r>
        <w:rPr>
          <w:rFonts w:hint="eastAsia" w:ascii="宋体" w:hAnsi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另涉及电池集成热管理部分需要满足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 xml:space="preserve">KLMX XXX-XXXX </w:t>
      </w:r>
      <w:r>
        <w:rPr>
          <w:rFonts w:hint="eastAsia" w:ascii="宋体" w:hAnsi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锂离子动力电池热管理机组技术要求</w:t>
      </w:r>
      <w:r>
        <w:rPr>
          <w:rFonts w:hint="eastAsia" w:ascii="宋体" w:hAnsi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》，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汽车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空调器各部件需满足国家和行业相关法规和技术标准。</w:t>
      </w:r>
    </w:p>
    <w:p>
      <w:pPr>
        <w:pStyle w:val="2"/>
        <w:spacing w:before="156" w:after="156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名义制冷量</w:t>
      </w:r>
    </w:p>
    <w:p>
      <w:pPr>
        <w:pStyle w:val="3"/>
        <w:ind w:left="0" w:leftChars="0" w:firstLine="420" w:firstLineChars="200"/>
        <w:rPr>
          <w:rFonts w:hint="default" w:ascii="黑体" w:hAnsi="宋体" w:eastAsia="黑体"/>
          <w:color w:val="FF0000"/>
          <w:lang w:val="en-US" w:eastAsia="zh-CN"/>
        </w:rPr>
      </w:pPr>
      <w:r>
        <w:rPr>
          <w:rFonts w:hint="eastAsia" w:ascii="黑体" w:hAnsi="宋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名义制冷量：≥25KW，能效比&gt;2.5，名义送风量≥6000m</w:t>
      </w:r>
      <w:r>
        <w:rPr>
          <w:rFonts w:hint="eastAsia" w:ascii="黑体" w:hAnsi="宋体" w:eastAsia="黑体"/>
          <w:color w:val="000000" w:themeColor="text1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黑体" w:hAnsi="宋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/h。</w:t>
      </w:r>
    </w:p>
    <w:p>
      <w:pPr>
        <w:pStyle w:val="3"/>
        <w:ind w:left="0" w:leftChars="0"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14:textFill>
            <w14:solidFill>
              <w14:schemeClr w14:val="tx1"/>
            </w14:solidFill>
          </w14:textFill>
        </w:rPr>
        <w:t>注：所有空调必须提供合肥所检测报告，检测报告须含名义制冷量、名义送风量和</w:t>
      </w:r>
      <w:r>
        <w:rPr>
          <w:rFonts w:hint="eastAsia" w:ascii="黑体" w:hAnsi="宋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总输入电</w:t>
      </w:r>
      <w:r>
        <w:rPr>
          <w:rFonts w:hint="eastAsia" w:ascii="黑体" w:hAnsi="宋体" w:eastAsia="黑体"/>
          <w:color w:val="000000" w:themeColor="text1"/>
          <w14:textFill>
            <w14:solidFill>
              <w14:schemeClr w14:val="tx1"/>
            </w14:solidFill>
          </w14:textFill>
        </w:rPr>
        <w:t>功率三项技术参数。</w:t>
      </w:r>
      <w:r>
        <w:rPr>
          <w:rFonts w:hint="eastAsia" w:ascii="黑体" w:hAnsi="宋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合肥所检测报告名义制冷的数值不低于上述值。</w:t>
      </w:r>
    </w:p>
    <w:p>
      <w:pPr>
        <w:pStyle w:val="2"/>
        <w:spacing w:before="156" w:after="156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配置要求</w:t>
      </w:r>
    </w:p>
    <w:p>
      <w:pPr>
        <w:pStyle w:val="3"/>
        <w:ind w:firstLine="42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1.1描述的各型号空调的基本状态：普通型单冷电动空调集成电池热管理</w:t>
      </w:r>
      <w:r>
        <w:rPr>
          <w:rFonts w:hint="eastAsia" w:ascii="宋体" w:hAnsi="宋体"/>
          <w:color w:val="FF0000"/>
          <w:lang w:val="en-US" w:eastAsia="zh-CN"/>
        </w:rPr>
        <w:t>（配置10KW的板式换热器）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。整车多合一控制器只提供直流高压电源接口给空调，高压线由空调自带，电池热管里自带水箱（含水位传感器）和水泵，进出水温传感器等热管理组件。电动空调不带回风格栅和密封胶但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包括其它涉及空调安装的所有部件。</w:t>
      </w:r>
    </w:p>
    <w:p>
      <w:pPr>
        <w:pStyle w:val="3"/>
        <w:ind w:firstLine="42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具体配置要求如下：</w:t>
      </w:r>
    </w:p>
    <w:p>
      <w:pPr>
        <w:pStyle w:val="3"/>
        <w:numPr>
          <w:ilvl w:val="0"/>
          <w:numId w:val="0"/>
        </w:numPr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配置广州日立压缩机，蒸发风机和冷凝风机配置国产风机，配置国产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新风</w:t>
      </w:r>
      <w:r>
        <w:rPr>
          <w:rFonts w:hint="eastAsia"/>
          <w:color w:val="FF0000"/>
          <w:lang w:val="en-US" w:eastAsia="zh-CN"/>
        </w:rPr>
        <w:t>（</w:t>
      </w:r>
      <w:r>
        <w:rPr>
          <w:rFonts w:hint="default"/>
          <w:color w:val="FF0000"/>
          <w:lang w:val="en-US" w:eastAsia="zh-CN"/>
        </w:rPr>
        <w:t>新风量≥</w:t>
      </w:r>
      <w:r>
        <w:rPr>
          <w:rFonts w:hint="eastAsia"/>
          <w:color w:val="FF0000"/>
          <w:lang w:val="en-US" w:eastAsia="zh-CN"/>
        </w:rPr>
        <w:t>1300m³/h）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国产空调控制器、进口电子膨胀阀、国产干燥器、国产视液镜、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国产接插件和继电器</w:t>
      </w:r>
      <w:r>
        <w:rPr>
          <w:rFonts w:hint="eastAsia" w:ascii="宋体" w:hAnsi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国产板式换热器，冷媒出厂前充注好</w:t>
      </w:r>
      <w:bookmarkStart w:id="0" w:name="_GoBack"/>
      <w:bookmarkEnd w:id="0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spacing w:before="156" w:after="156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结构要求</w:t>
      </w:r>
    </w:p>
    <w:p>
      <w:pPr>
        <w:pStyle w:val="3"/>
        <w:numPr>
          <w:ilvl w:val="0"/>
          <w:numId w:val="2"/>
        </w:numPr>
        <w:ind w:firstLine="42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全部为非独立顶置式空调。</w:t>
      </w:r>
    </w:p>
    <w:p>
      <w:pPr>
        <w:pStyle w:val="3"/>
        <w:numPr>
          <w:ilvl w:val="0"/>
          <w:numId w:val="2"/>
        </w:numPr>
        <w:ind w:firstLine="42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FF"/>
        </w:rPr>
        <w:t>空调与前部造型有匹配要求，空调罩外形需满足</w:t>
      </w:r>
      <w:r>
        <w:rPr>
          <w:rFonts w:hint="eastAsia"/>
          <w:color w:val="0000FF"/>
          <w:lang w:eastAsia="zh-CN"/>
        </w:rPr>
        <w:t>。</w:t>
      </w:r>
    </w:p>
    <w:p>
      <w:pPr>
        <w:pStyle w:val="2"/>
        <w:spacing w:before="156" w:after="156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选装要求</w:t>
      </w:r>
    </w:p>
    <w:p>
      <w:pPr>
        <w:pStyle w:val="3"/>
        <w:numPr>
          <w:ilvl w:val="0"/>
          <w:numId w:val="3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提供选择热泵增配差价。</w:t>
      </w:r>
    </w:p>
    <w:p>
      <w:pPr>
        <w:pStyle w:val="3"/>
        <w:numPr>
          <w:ilvl w:val="0"/>
          <w:numId w:val="3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提供选择PTC（功率按16KW）增配差价。</w:t>
      </w:r>
    </w:p>
    <w:p>
      <w:pPr>
        <w:pStyle w:val="3"/>
        <w:numPr>
          <w:ilvl w:val="0"/>
          <w:numId w:val="3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提供取消整套电池热管理减配差价。</w:t>
      </w:r>
    </w:p>
    <w:p>
      <w:pPr>
        <w:pStyle w:val="3"/>
        <w:numPr>
          <w:ilvl w:val="0"/>
          <w:numId w:val="3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提供整套配置进口接插件和继电器配置及相应增配差价。</w:t>
      </w:r>
    </w:p>
    <w:p>
      <w:pPr>
        <w:pStyle w:val="3"/>
        <w:numPr>
          <w:ilvl w:val="0"/>
          <w:numId w:val="3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提供回风格栅配置及相应增配差价。</w:t>
      </w:r>
    </w:p>
    <w:p>
      <w:pPr>
        <w:pStyle w:val="3"/>
        <w:numPr>
          <w:ilvl w:val="0"/>
          <w:numId w:val="3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提供取消空调控制器，直接整车中控大屏控制（</w:t>
      </w:r>
      <w:r>
        <w:rPr>
          <w:rFonts w:hint="eastAsia"/>
          <w:color w:val="0000FF"/>
          <w:lang w:val="en-US" w:eastAsia="zh-CN"/>
        </w:rPr>
        <w:t>采用CAN控制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）选项的减配差价。</w:t>
      </w:r>
    </w:p>
    <w:p>
      <w:pPr>
        <w:pStyle w:val="3"/>
        <w:numPr>
          <w:ilvl w:val="0"/>
          <w:numId w:val="3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提供选装进口斯派尔风机配置及相应增配差价。</w:t>
      </w:r>
    </w:p>
    <w:p>
      <w:pPr>
        <w:pStyle w:val="3"/>
        <w:numPr>
          <w:ilvl w:val="0"/>
          <w:numId w:val="3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提供取消整车多合一到空调高压电源线的减配差价。</w:t>
      </w:r>
    </w:p>
    <w:p>
      <w:pPr>
        <w:pStyle w:val="3"/>
        <w:numPr>
          <w:ilvl w:val="0"/>
          <w:numId w:val="3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提供取消电池热管理水泵的减配差价。</w:t>
      </w:r>
    </w:p>
    <w:p>
      <w:pPr>
        <w:pStyle w:val="3"/>
        <w:numPr>
          <w:ilvl w:val="0"/>
          <w:numId w:val="3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提供取消电池热管理水箱的减配差价。</w:t>
      </w:r>
    </w:p>
    <w:p>
      <w:pPr>
        <w:pStyle w:val="3"/>
        <w:numPr>
          <w:ilvl w:val="0"/>
          <w:numId w:val="3"/>
        </w:numPr>
        <w:ind w:left="0" w:leftChars="0" w:firstLine="420" w:firstLineChars="20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提供取消空调内部自带DC-DC，由整车提供低压24风机供电的减配差价;</w:t>
      </w:r>
    </w:p>
    <w:p>
      <w:pPr>
        <w:pStyle w:val="3"/>
        <w:numPr>
          <w:ilvl w:val="0"/>
          <w:numId w:val="3"/>
        </w:numPr>
        <w:ind w:left="0" w:leftChars="0" w:firstLine="420" w:firstLineChars="20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提供标配质保3年更改为8年的延保差价。</w:t>
      </w:r>
    </w:p>
    <w:p>
      <w:pPr>
        <w:pStyle w:val="3"/>
        <w:numPr>
          <w:ilvl w:val="0"/>
          <w:numId w:val="3"/>
        </w:numPr>
        <w:ind w:left="0" w:leftChars="0" w:firstLine="420" w:firstLineChars="20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提供增加密封胶的增配</w:t>
      </w:r>
      <w:r>
        <w:rPr>
          <w:rFonts w:hint="eastAsia"/>
          <w:color w:val="0000FF"/>
          <w:lang w:val="en-US" w:eastAsia="zh-CN"/>
        </w:rPr>
        <w:t>差价。</w:t>
      </w:r>
    </w:p>
    <w:p>
      <w:pPr>
        <w:pStyle w:val="2"/>
        <w:spacing w:before="156" w:after="156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结构型式：</w:t>
      </w:r>
    </w:p>
    <w:p>
      <w:pPr>
        <w:pStyle w:val="3"/>
        <w:ind w:firstLine="42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全部为非独立顶置式空调。</w:t>
      </w:r>
    </w:p>
    <w:p>
      <w:pPr>
        <w:pStyle w:val="2"/>
        <w:bidi w:val="0"/>
        <w:ind w:left="578" w:leftChars="0" w:hanging="578" w:firstLineChars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其它要求</w:t>
      </w:r>
    </w:p>
    <w:p>
      <w:pPr>
        <w:numPr>
          <w:ilvl w:val="0"/>
          <w:numId w:val="4"/>
        </w:numPr>
        <w:ind w:left="210" w:leftChars="0" w:firstLine="210" w:firstLineChars="100"/>
        <w:jc w:val="both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FF0000"/>
          <w:lang w:val="en-US" w:eastAsia="zh-CN"/>
        </w:rPr>
        <w:t>满足</w:t>
      </w:r>
      <w:r>
        <w:rPr>
          <w:rFonts w:hint="default"/>
          <w:color w:val="FF0000"/>
          <w:lang w:eastAsia="zh-CN"/>
        </w:rPr>
        <w:t>GB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default"/>
          <w:color w:val="FF0000"/>
          <w:lang w:eastAsia="zh-CN"/>
        </w:rPr>
        <w:t>44495-2024《汽车整车信息安全技术要求》、GB</w:t>
      </w:r>
      <w:r>
        <w:rPr>
          <w:rFonts w:hint="eastAsia"/>
          <w:color w:val="FF0000"/>
          <w:lang w:val="en-US" w:eastAsia="zh-CN"/>
        </w:rPr>
        <w:t xml:space="preserve">/ </w:t>
      </w:r>
      <w:r>
        <w:rPr>
          <w:rFonts w:hint="default"/>
          <w:color w:val="FF0000"/>
          <w:lang w:eastAsia="zh-CN"/>
        </w:rPr>
        <w:t>T44464-2024《汽车数据通用要求》以及GB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default"/>
          <w:color w:val="FF0000"/>
          <w:lang w:eastAsia="zh-CN"/>
        </w:rPr>
        <w:t>44496-2024《汽车软件升级通用技术要求》。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其它未提及事项满足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GB/T 37123-2018 </w:t>
      </w:r>
      <w:r>
        <w:rPr>
          <w:rFonts w:hint="eastAsia" w:ascii="宋体" w:hAnsi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汽车用电动驱动空调器》，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并提供标准中表11的型式检验的23项报告。</w:t>
      </w:r>
    </w:p>
    <w:p>
      <w:pPr>
        <w:numPr>
          <w:ilvl w:val="0"/>
          <w:numId w:val="4"/>
        </w:numPr>
        <w:ind w:left="210" w:leftChars="0" w:firstLine="210" w:firstLineChars="10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空调面板采用旋钮式，满足与整车CAN通讯要求。</w:t>
      </w:r>
    </w:p>
    <w:p>
      <w:pPr>
        <w:numPr>
          <w:ilvl w:val="0"/>
          <w:numId w:val="4"/>
        </w:numPr>
        <w:ind w:left="210" w:leftChars="0" w:firstLine="210" w:firstLineChars="100"/>
        <w:jc w:val="both"/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环保性要求：环保要求满足以下要求，以下是部分材质（塑料类、玻璃钢、橡胶和隔热材料）的限值要求：见表1。空调所有部件禁止含石棉成分。</w:t>
      </w:r>
    </w:p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</w:t>
      </w:r>
    </w:p>
    <w:tbl>
      <w:tblPr>
        <w:tblStyle w:val="6"/>
        <w:tblW w:w="8414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2111"/>
        <w:gridCol w:w="1512"/>
        <w:gridCol w:w="1460"/>
        <w:gridCol w:w="26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检测方法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检测项目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限值要求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default" w:ascii="宋体" w:hAnsi="宋体" w:eastAsiaTheme="minorEastAsia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VDA 275</w:t>
            </w:r>
          </w:p>
        </w:tc>
        <w:tc>
          <w:tcPr>
            <w:tcW w:w="1512" w:type="dxa"/>
            <w:vAlign w:val="center"/>
          </w:tcPr>
          <w:p>
            <w:pPr>
              <w:rPr>
                <w:rFonts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甲醛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＜10mg/kg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VDA 277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TVOC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50µg C/g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VDA 277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苯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＜5µg/g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VDA 277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＜5µg/g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VDA 277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二甲苯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＜15µg/g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default" w:ascii="宋体" w:hAnsi="宋体" w:eastAsiaTheme="minorEastAsia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DIN 75201-B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雾气试验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mg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Merge w:val="restart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111" w:type="dxa"/>
            <w:vMerge w:val="restart"/>
            <w:vAlign w:val="top"/>
          </w:tcPr>
          <w:p>
            <w:pPr>
              <w:rPr>
                <w:rFonts w:hint="default" w:ascii="宋体" w:hAnsi="宋体" w:eastAsiaTheme="minorEastAsia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VDA 270 方案C </w:t>
            </w:r>
          </w:p>
        </w:tc>
        <w:tc>
          <w:tcPr>
            <w:tcW w:w="1512" w:type="dxa"/>
            <w:vMerge w:val="restart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气味试验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≤3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23℃/40℃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Merge w:val="continue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1" w:type="dxa"/>
            <w:vMerge w:val="continue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2" w:type="dxa"/>
            <w:vMerge w:val="continue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≤3.5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80℃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  <w:gridSpan w:val="5"/>
            <w:vAlign w:val="top"/>
          </w:tcPr>
          <w:p>
            <w:pPr>
              <w:ind w:firstLine="315" w:firstLineChars="175"/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注：材料的环保性还需满足相关的国家标准及行业标准。</w:t>
            </w:r>
          </w:p>
        </w:tc>
      </w:tr>
    </w:tbl>
    <w:p>
      <w:pPr>
        <w:numPr>
          <w:ilvl w:val="0"/>
          <w:numId w:val="0"/>
        </w:numPr>
        <w:spacing w:line="360" w:lineRule="auto"/>
        <w:ind w:leftChars="100" w:firstLine="210" w:firstLineChars="100"/>
        <w:outlineLvl w:val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（4）阻燃性要求</w:t>
      </w:r>
    </w:p>
    <w:p>
      <w:pPr>
        <w:numPr>
          <w:ilvl w:val="0"/>
          <w:numId w:val="0"/>
        </w:numPr>
        <w:ind w:firstLine="420" w:firstLineChars="20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制冷装置中玻璃钢阻燃性能按GB 8410 的试验方法，其水平燃烧速度小于等于50mm/min；橡胶、橡胶制品、隔热材料阻燃性能应达到JT/T 1095表2中其他保温、隔热、降噪、减振材料对应的要求；其它非金属件阻燃性能要求满足GB 8410的试验方法，其水平燃烧速度小于等于50mm/min。</w:t>
      </w:r>
    </w:p>
    <w:p>
      <w:pPr>
        <w:numPr>
          <w:ilvl w:val="0"/>
          <w:numId w:val="0"/>
        </w:numPr>
        <w:spacing w:line="360" w:lineRule="auto"/>
        <w:ind w:leftChars="100" w:firstLine="210" w:firstLineChars="100"/>
        <w:outlineLvl w:val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（5）电磁兼容要求</w:t>
      </w:r>
    </w:p>
    <w:p>
      <w:pPr>
        <w:numPr>
          <w:ilvl w:val="0"/>
          <w:numId w:val="0"/>
        </w:numPr>
        <w:ind w:firstLine="420" w:firstLineChars="20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高低压零部件的辐射发射（RE），满足GB/T 18655-2018中6.5.4节等级3限值要求（注：交叠频段选择严酷等级限值，GB/T 18655-2018未明确频段的限值按照临近限值直线连接确定，参考附录B）；低压零部件和线束传导发射（CE）电压法满足GB/T 18655-2018中6.3.4节等级3限值要求，高压线束传导发射电压法满足GB/T 18655-2018中I.2.3节表I.1等级3限值要求（注：交叠频段选择严酷等级限值，GB/T 18655-2018未明确频段的限值按照临近限值直线连接确定，参考附录B）；瞬态传导发射（TCE）满足表2要求；射频抗扰（自由场/ALSE）在频率范围80MHz~3000MHz内采用GB/T 33014.2-2016附录C表C.1等级L3进行试验，满足功能状态等级A要求；射频抗扰（大电流注入/BCI）采用GB/T 33014.4-2016附录C表C.1等级L3进行试验，满足功能状态等级A要求；瞬态抗扰（电源线/TCS-P）满足表3要求；瞬态抗扰（信号线/TCS-S）采用GB/T 21437.3-2012附录B等级Ⅲ进行快脉冲、慢脉冲进行试验，满足功能状态等级A要求；静电放电抗扰（ESD）满足表4要求；便携式发射机抗扰（PTS）在频率范围360MHz~5.925GHz，采用表5规定功率进行试验，360MHz~2700MHz仅允许使用SBA9113+420NJ翼型天线用于本测试，2700MHz以上频段建议使用SBA 9119+NJ422天线用于本测试或ISO 11452-9-2012中附录B中规定的天线，满足功能状态等级A要求；电快速脉冲群抗扰（EFT）采用GB/T 17626.4第5节等级3进行试验，分别进行重复频率为5kHz、100kHz的试验，满足功能状态等级A要求。</w:t>
      </w:r>
    </w:p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</w:p>
    <w:tbl>
      <w:tblPr>
        <w:tblStyle w:val="6"/>
        <w:tblW w:w="63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9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脉冲分类</w:t>
            </w: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脉冲限值(V)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Merge w:val="continue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24V系统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正慢脉冲（毫秒范围或更慢）</w:t>
            </w: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负慢脉冲（毫秒范围或更慢）</w:t>
            </w: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正快脉冲（纳秒至微秒范围）</w:t>
            </w: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负快脉冲（纳秒至微秒范围）</w:t>
            </w: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-150</w:t>
            </w:r>
          </w:p>
        </w:tc>
      </w:tr>
    </w:tbl>
    <w:p>
      <w:pPr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</w:p>
    <w:tbl>
      <w:tblPr>
        <w:tblStyle w:val="6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982"/>
        <w:gridCol w:w="980"/>
        <w:gridCol w:w="1350"/>
        <w:gridCol w:w="1348"/>
        <w:gridCol w:w="1558"/>
        <w:gridCol w:w="1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试验脉冲</w:t>
            </w:r>
          </w:p>
        </w:tc>
        <w:tc>
          <w:tcPr>
            <w:tcW w:w="1962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脉冲等级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(V)</w:t>
            </w:r>
          </w:p>
        </w:tc>
        <w:tc>
          <w:tcPr>
            <w:tcW w:w="1350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脉冲数/时间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脉冲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</w:t>
            </w:r>
          </w:p>
        </w:tc>
        <w:tc>
          <w:tcPr>
            <w:tcW w:w="1231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功能状态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12V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24V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1350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12V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155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24V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1231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-150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-600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500个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t1=0.5s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2a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+112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+112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500个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t1=0.2s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2b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+10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+20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td=0.5s,Ri=0.05Ω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3a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-220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-300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1h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td=0.1μs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3b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+150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+300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1h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td=0.1μs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-7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-16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t7=15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t8=50ms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t9=1s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t11=100ms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Ua=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-6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</w:t>
            </w:r>
          </w:p>
        </w:tc>
        <w:tc>
          <w:tcPr>
            <w:tcW w:w="155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t7=50ms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t8=50ms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t9=1s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t11=40ms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Ua=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-12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+87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+174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td=400ms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Ri=2Ω</w:t>
            </w:r>
          </w:p>
        </w:tc>
        <w:tc>
          <w:tcPr>
            <w:tcW w:w="155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td=350ms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Ri=4Ω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注：智能监控及记录类含有备用电源供电的设备，脉冲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1和脉冲2b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满足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功能状态等级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A要求。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default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表4</w:t>
      </w:r>
    </w:p>
    <w:tbl>
      <w:tblPr>
        <w:tblStyle w:val="6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227"/>
        <w:gridCol w:w="726"/>
        <w:gridCol w:w="1471"/>
        <w:gridCol w:w="980"/>
        <w:gridCol w:w="1225"/>
        <w:gridCol w:w="859"/>
        <w:gridCol w:w="1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3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试验模式</w:t>
            </w:r>
          </w:p>
        </w:tc>
        <w:tc>
          <w:tcPr>
            <w:tcW w:w="1227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放电试验位置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放电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模式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放电网络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严酷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放电次数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/测试点数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功能状态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19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下电模式</w:t>
            </w:r>
          </w:p>
        </w:tc>
        <w:tc>
          <w:tcPr>
            <w:tcW w:w="1227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引脚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接触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C=150pF,R=330Ω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±8kV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3次/个引脚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195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引脚可用线径0.5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2mm2且长度不超过25mm的导线进行辅助；表面选择应包含缝隙、螺钉等。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表面（非金属）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空气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C=330pF,R=2kΩ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±15kV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表面（金属）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接触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C=150pF,R=330Ω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±8kV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空气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C=330pF,R=2kΩ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±15kV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上电模式</w:t>
            </w:r>
          </w:p>
        </w:tc>
        <w:tc>
          <w:tcPr>
            <w:tcW w:w="1227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表面（非金属）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空气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C=330pF,R=2kΩ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表面（金属）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接触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C=150pF,R=330Ω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±8kV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空气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C=330pF,R=2kΩ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default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表9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591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591" w:type="dxa"/>
            <w:vAlign w:val="center"/>
          </w:tcPr>
          <w:p>
            <w:pPr>
              <w:pStyle w:val="8"/>
              <w:ind w:firstLine="0"/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频段用途</w:t>
            </w:r>
          </w:p>
        </w:tc>
        <w:tc>
          <w:tcPr>
            <w:tcW w:w="1704" w:type="dxa"/>
            <w:vAlign w:val="center"/>
          </w:tcPr>
          <w:p>
            <w:pPr>
              <w:pStyle w:val="8"/>
              <w:ind w:firstLine="0"/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频率（</w:t>
            </w:r>
            <w:r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MHz</w:t>
            </w: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功率（</w:t>
            </w:r>
            <w:r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</w:t>
            </w: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调制方式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91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RKE、对讲机</w:t>
            </w:r>
          </w:p>
        </w:tc>
        <w:tc>
          <w:tcPr>
            <w:tcW w:w="1704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360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480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PM，18Hz，50%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91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GSM800/900</w:t>
            </w:r>
          </w:p>
        </w:tc>
        <w:tc>
          <w:tcPr>
            <w:tcW w:w="1704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7.0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PM，217Hz，12.5%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591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GSM1800/1900</w:t>
            </w:r>
          </w:p>
        </w:tc>
        <w:tc>
          <w:tcPr>
            <w:tcW w:w="1704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1950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PM，217Hz，12.5%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591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3G</w:t>
            </w:r>
          </w:p>
        </w:tc>
        <w:tc>
          <w:tcPr>
            <w:tcW w:w="1704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1950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2200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PM，217Hz，12.5%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91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LTE</w:t>
            </w:r>
          </w:p>
        </w:tc>
        <w:tc>
          <w:tcPr>
            <w:tcW w:w="1704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2400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PM，217Hz，12.5%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591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WIFI、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蓝牙</w:t>
            </w:r>
          </w:p>
        </w:tc>
        <w:tc>
          <w:tcPr>
            <w:tcW w:w="1704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2500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PM，1600Hz，50%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591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LTE</w:t>
            </w:r>
          </w:p>
        </w:tc>
        <w:tc>
          <w:tcPr>
            <w:tcW w:w="1704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2700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PM，217Hz，12.5%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591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5G/IMT-2020</w:t>
            </w:r>
          </w:p>
        </w:tc>
        <w:tc>
          <w:tcPr>
            <w:tcW w:w="1704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3800</w:t>
            </w:r>
          </w:p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5000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PM，700kHz，50%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591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802.11A、11a、V2X</w:t>
            </w:r>
          </w:p>
        </w:tc>
        <w:tc>
          <w:tcPr>
            <w:tcW w:w="1704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5150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5350</w:t>
            </w:r>
          </w:p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5725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5850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PM，1600Hz，50%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91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802.11A、11p、V2X</w:t>
            </w:r>
          </w:p>
        </w:tc>
        <w:tc>
          <w:tcPr>
            <w:tcW w:w="1704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5850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5925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705" w:type="dxa"/>
            <w:vAlign w:val="center"/>
          </w:tcPr>
          <w:p>
            <w:pPr>
              <w:pStyle w:val="8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PM，1600Hz，50%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firstLine="420" w:firstLineChars="20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（6）质保3年。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BB53B8"/>
    <w:multiLevelType w:val="singleLevel"/>
    <w:tmpl w:val="DDBB53B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25758CA4"/>
    <w:multiLevelType w:val="singleLevel"/>
    <w:tmpl w:val="25758CA4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364908CB"/>
    <w:multiLevelType w:val="singleLevel"/>
    <w:tmpl w:val="364908CB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3AD06EC3"/>
    <w:multiLevelType w:val="multilevel"/>
    <w:tmpl w:val="3AD06EC3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2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32BB3"/>
    <w:rsid w:val="019F0CCB"/>
    <w:rsid w:val="025F0139"/>
    <w:rsid w:val="02A016C2"/>
    <w:rsid w:val="09773E97"/>
    <w:rsid w:val="1DF35D6D"/>
    <w:rsid w:val="21241577"/>
    <w:rsid w:val="24C43017"/>
    <w:rsid w:val="270B10D9"/>
    <w:rsid w:val="304B45A1"/>
    <w:rsid w:val="3135610A"/>
    <w:rsid w:val="3A895497"/>
    <w:rsid w:val="3AEE3C6A"/>
    <w:rsid w:val="3CA9719A"/>
    <w:rsid w:val="42797434"/>
    <w:rsid w:val="48A3281E"/>
    <w:rsid w:val="4A332BB3"/>
    <w:rsid w:val="4B29797D"/>
    <w:rsid w:val="4F18357C"/>
    <w:rsid w:val="513A3587"/>
    <w:rsid w:val="52854C3D"/>
    <w:rsid w:val="58F75998"/>
    <w:rsid w:val="5B453483"/>
    <w:rsid w:val="63464323"/>
    <w:rsid w:val="6752699C"/>
    <w:rsid w:val="71010AE0"/>
    <w:rsid w:val="71872E42"/>
    <w:rsid w:val="7A270B81"/>
    <w:rsid w:val="7A771A64"/>
    <w:rsid w:val="7BBB307F"/>
    <w:rsid w:val="7F98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88" w:lineRule="auto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3"/>
    <w:unhideWhenUsed/>
    <w:qFormat/>
    <w:uiPriority w:val="9"/>
    <w:pPr>
      <w:keepNext/>
      <w:keepLines/>
      <w:numPr>
        <w:ilvl w:val="1"/>
        <w:numId w:val="1"/>
      </w:numPr>
      <w:spacing w:beforeLines="50" w:afterLines="50"/>
      <w:ind w:left="578" w:hanging="578"/>
      <w:outlineLvl w:val="1"/>
    </w:pPr>
    <w:rPr>
      <w:rFonts w:eastAsia="黑体" w:asciiTheme="majorHAnsi" w:hAnsiTheme="majorHAnsi" w:cstheme="majorBidi"/>
      <w:b/>
      <w:bCs/>
      <w:sz w:val="24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内容"/>
    <w:basedOn w:val="1"/>
    <w:qFormat/>
    <w:uiPriority w:val="0"/>
    <w:pPr>
      <w:ind w:firstLine="200" w:firstLineChars="20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黑体" w:asciiTheme="majorHAnsi" w:hAnsiTheme="majorHAnsi" w:cstheme="majorBidi"/>
      <w:b/>
      <w:bCs/>
      <w:sz w:val="36"/>
      <w:szCs w:val="32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5a8e1728-d3a5-4182-b391-5f1b84145c9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a8e1728-d3a5-4182-b391-5f1b84145c90}"/>
      </w:docPartPr>
      <w:docPartBody>
        <w:p>
          <w:pPr>
            <w:pStyle w:val="2"/>
          </w:pPr>
          <w:r>
            <w:rPr>
              <w:rStyle w:val="3"/>
              <w:rFonts w:hint="eastAsia"/>
            </w:rPr>
            <w:t>[标题]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1" w:semiHidden="0" w:name="Default Paragraph Font"/>
  </w:latentStyles>
  <w:style w:type="character" w:default="1" w:styleId="1">
    <w:name w:val="Default Paragraph Font"/>
    <w:unhideWhenUsed/>
    <w:qFormat/>
    <w:uiPriority w:val="1"/>
  </w:style>
  <w:style w:type="paragraph" w:customStyle="1" w:styleId="2">
    <w:name w:val="64902AE2726A46ADBA274CBBAF98F60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">
    <w:name w:val="Placeholder Text"/>
    <w:basedOn w:val="1"/>
    <w:semiHidden/>
    <w:qFormat/>
    <w:uiPriority w:val="99"/>
    <w:rPr>
      <w:color w:val="808080"/>
    </w:rPr>
  </w:style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2026-07-08T22:40:00Z</dcterms:created>
  <dc:creator>A张燕(平安)</dc:creator>
  <cp:lastModifiedBy>fenghh</cp:lastModifiedBy>
  <dcterms:modified xsi:type="dcterms:W3CDTF">2026-07-27T23:59:01Z</dcterms:modified>
  <dc:title>国内C款纯电动空调技术要求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C524F27388B64B5FA872946AEB6ADF03_11</vt:lpwstr>
  </property>
  <property fmtid="{D5CDD505-2E9C-101B-9397-08002B2CF9AE}" pid="4" name="KSOTemplateDocerSaveRecord">
    <vt:lpwstr>eyJoZGlkIjoiNmNkZjRmNDZkMzZhOWRhMGJkMTg2ODEyMjVjNGU2OGMiLCJ1c2VySWQiOiIyMTc0MTgzMDUifQ==</vt:lpwstr>
  </property>
</Properties>
</file>