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adjustRightInd w:val="0"/>
        <w:snapToGrid w:val="0"/>
        <w:spacing w:before="0" w:after="120"/>
        <w:rPr>
          <w:sz w:val="30"/>
          <w:szCs w:val="30"/>
        </w:rPr>
      </w:pPr>
      <w:bookmarkStart w:id="0" w:name="_Toc20631"/>
      <w:bookmarkStart w:id="1" w:name="_Toc14358"/>
      <w:bookmarkStart w:id="2" w:name="_Toc97560485"/>
      <w:bookmarkStart w:id="3" w:name="_Toc26315"/>
      <w:bookmarkStart w:id="4" w:name="_Toc5934"/>
      <w:bookmarkStart w:id="5" w:name="_Toc19915"/>
      <w:bookmarkStart w:id="6" w:name="_Toc21409"/>
      <w:bookmarkStart w:id="7" w:name="_Toc17193"/>
      <w:r>
        <w:rPr>
          <w:rFonts w:hint="eastAsia"/>
          <w:bCs/>
          <w:color w:val="0000FF"/>
          <w:sz w:val="30"/>
          <w:szCs w:val="30"/>
        </w:rPr>
        <w:t>海外焊装线聚氨酯超耐磨地坪漆改造项目</w:t>
      </w:r>
      <w:r>
        <w:rPr>
          <w:rFonts w:hint="eastAsia"/>
          <w:sz w:val="30"/>
          <w:szCs w:val="30"/>
        </w:rPr>
        <w:t>招标项目</w:t>
      </w:r>
      <w:bookmarkStart w:id="8" w:name="OLE_LINK3"/>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rPr>
      </w:pPr>
      <w:r>
        <w:rPr>
          <w:rFonts w:ascii="宋体" w:hAnsi="宋体"/>
          <w:b/>
          <w:sz w:val="28"/>
          <w:szCs w:val="28"/>
          <w:lang w:val="zh-CN"/>
        </w:rPr>
        <w:t>评标方法：综合</w:t>
      </w:r>
      <w:r>
        <w:rPr>
          <w:rFonts w:hint="eastAsia" w:ascii="宋体" w:hAnsi="宋体"/>
          <w:b/>
          <w:sz w:val="28"/>
          <w:szCs w:val="28"/>
          <w:lang w:val="zh-CN"/>
        </w:rPr>
        <w:t>评审</w:t>
      </w:r>
      <w:r>
        <w:rPr>
          <w:rFonts w:ascii="宋体" w:hAnsi="宋体"/>
          <w:b/>
          <w:sz w:val="28"/>
          <w:szCs w:val="28"/>
          <w:lang w:val="zh-CN"/>
        </w:rPr>
        <w:t>法</w:t>
      </w:r>
    </w:p>
    <w:p>
      <w:pPr>
        <w:spacing w:line="360" w:lineRule="auto"/>
        <w:ind w:firstLine="480" w:firstLineChars="200"/>
        <w:rPr>
          <w:rFonts w:hint="eastAsia" w:ascii="宋体" w:hAnsi="宋体"/>
          <w:sz w:val="24"/>
          <w:lang w:val="zh-CN"/>
        </w:rPr>
      </w:pPr>
      <w:bookmarkStart w:id="9" w:name="OLE_LINK6"/>
      <w:r>
        <w:rPr>
          <w:rFonts w:ascii="宋体" w:hAnsi="宋体"/>
          <w:sz w:val="24"/>
          <w:lang w:val="zh-CN"/>
        </w:rPr>
        <w:t>对所有投标人的投标文件评审，都采用相同的程序和标准。</w:t>
      </w:r>
    </w:p>
    <w:p>
      <w:pPr>
        <w:pStyle w:val="15"/>
        <w:numPr>
          <w:ilvl w:val="0"/>
          <w:numId w:val="2"/>
        </w:numPr>
        <w:spacing w:line="360" w:lineRule="auto"/>
        <w:ind w:left="0" w:firstLine="480"/>
        <w:rPr>
          <w:rFonts w:hint="eastAsia" w:ascii="宋体" w:hAnsi="宋体"/>
        </w:rPr>
      </w:pPr>
      <w:r>
        <w:rPr>
          <w:rFonts w:hint="eastAsia" w:ascii="宋体" w:hAnsi="宋体"/>
        </w:rPr>
        <w:t>采购评标小组成员</w:t>
      </w:r>
    </w:p>
    <w:p>
      <w:pPr>
        <w:spacing w:line="360" w:lineRule="auto"/>
        <w:ind w:firstLine="480" w:firstLineChars="200"/>
        <w:rPr>
          <w:rFonts w:hint="eastAsia" w:ascii="宋体" w:hAnsi="宋体"/>
          <w:sz w:val="24"/>
        </w:rPr>
      </w:pPr>
      <w:r>
        <w:rPr>
          <w:rFonts w:hint="eastAsia" w:ascii="宋体" w:hAnsi="宋体"/>
          <w:sz w:val="24"/>
        </w:rPr>
        <w:t>①开标评审人员均按项目类别由系统随机在金龙公司的开标评审人才库随机抽选；</w:t>
      </w:r>
    </w:p>
    <w:p>
      <w:pPr>
        <w:spacing w:line="360" w:lineRule="auto"/>
        <w:ind w:firstLine="480" w:firstLineChars="200"/>
        <w:rPr>
          <w:rFonts w:hint="eastAsia" w:ascii="宋体" w:hAnsi="宋体"/>
          <w:sz w:val="24"/>
        </w:rPr>
      </w:pPr>
      <w:r>
        <w:rPr>
          <w:rFonts w:hint="eastAsia" w:ascii="宋体" w:hAnsi="宋体"/>
          <w:sz w:val="24"/>
        </w:rPr>
        <w:t>②针对技术复杂、专业性强或者存在特殊原因的由采购承办部门&amp;招标中心根据情况指定评标人员。</w:t>
      </w:r>
    </w:p>
    <w:p>
      <w:pPr>
        <w:spacing w:line="360" w:lineRule="auto"/>
        <w:ind w:firstLine="480" w:firstLineChars="200"/>
        <w:rPr>
          <w:rFonts w:hint="eastAsia" w:ascii="宋体" w:hAnsi="宋体"/>
          <w:sz w:val="24"/>
          <w:lang w:val="zh-CN"/>
        </w:rPr>
      </w:pPr>
      <w:r>
        <w:rPr>
          <w:rFonts w:hint="eastAsia" w:ascii="宋体" w:hAnsi="宋体"/>
          <w:sz w:val="24"/>
        </w:rPr>
        <w:t>③评标人员成员一般为5人及以上单数。</w:t>
      </w:r>
    </w:p>
    <w:p>
      <w:pPr>
        <w:pStyle w:val="15"/>
        <w:numPr>
          <w:ilvl w:val="0"/>
          <w:numId w:val="2"/>
        </w:numPr>
        <w:spacing w:line="360" w:lineRule="auto"/>
        <w:ind w:left="0" w:firstLine="480"/>
        <w:rPr>
          <w:rFonts w:hint="eastAsia" w:ascii="宋体" w:hAnsi="宋体"/>
          <w:lang w:val="zh-CN"/>
        </w:rPr>
      </w:pPr>
      <w:r>
        <w:rPr>
          <w:rFonts w:ascii="宋体" w:hAnsi="宋体"/>
          <w:lang w:val="zh-CN"/>
        </w:rPr>
        <w:t>由</w:t>
      </w:r>
      <w:r>
        <w:rPr>
          <w:rFonts w:hint="eastAsia" w:ascii="宋体" w:hAnsi="宋体"/>
        </w:rPr>
        <w:t>招标评审小组成员</w:t>
      </w:r>
      <w:r>
        <w:rPr>
          <w:rFonts w:ascii="宋体" w:hAnsi="宋体"/>
          <w:lang w:val="zh-CN"/>
        </w:rPr>
        <w:t>根据</w:t>
      </w:r>
      <w:r>
        <w:rPr>
          <w:rFonts w:hint="eastAsia" w:ascii="宋体" w:hAnsi="宋体"/>
          <w:lang w:val="zh-CN"/>
        </w:rPr>
        <w:t>招标文件</w:t>
      </w:r>
      <w:r>
        <w:rPr>
          <w:rFonts w:hint="eastAsia" w:ascii="宋体" w:hAnsi="宋体"/>
        </w:rPr>
        <w:t>审核的</w:t>
      </w:r>
      <w:r>
        <w:rPr>
          <w:rFonts w:ascii="宋体" w:hAnsi="宋体"/>
          <w:lang w:val="zh-CN"/>
        </w:rPr>
        <w:t>要求</w:t>
      </w:r>
      <w:r>
        <w:rPr>
          <w:rFonts w:hint="eastAsia" w:ascii="宋体" w:hAnsi="宋体"/>
          <w:lang w:val="zh-CN"/>
        </w:rPr>
        <w:t>（</w:t>
      </w:r>
      <w:r>
        <w:rPr>
          <w:rFonts w:hint="eastAsia" w:ascii="宋体" w:hAnsi="宋体"/>
        </w:rPr>
        <w:t>评审项目、内容、相关佐证材料</w:t>
      </w:r>
      <w:r>
        <w:rPr>
          <w:rFonts w:hint="eastAsia" w:ascii="宋体" w:hAnsi="宋体"/>
          <w:lang w:val="zh-CN"/>
        </w:rPr>
        <w:t>）、</w:t>
      </w:r>
      <w:r>
        <w:rPr>
          <w:rFonts w:hint="eastAsia" w:ascii="宋体" w:hAnsi="宋体"/>
        </w:rPr>
        <w:t>评分标准和计分方法</w:t>
      </w:r>
      <w:r>
        <w:rPr>
          <w:rFonts w:ascii="宋体" w:hAnsi="宋体"/>
          <w:lang w:val="zh-CN"/>
        </w:rPr>
        <w:t>，审核</w:t>
      </w:r>
      <w:r>
        <w:rPr>
          <w:rFonts w:hint="eastAsia" w:ascii="宋体" w:hAnsi="宋体"/>
        </w:rPr>
        <w:t>和评审</w:t>
      </w:r>
      <w:r>
        <w:rPr>
          <w:rFonts w:ascii="宋体" w:hAnsi="宋体"/>
          <w:lang w:val="zh-CN"/>
        </w:rPr>
        <w:t>各</w:t>
      </w:r>
      <w:r>
        <w:rPr>
          <w:rFonts w:hint="eastAsia" w:ascii="宋体" w:hAnsi="宋体"/>
          <w:lang w:val="zh-CN"/>
        </w:rPr>
        <w:t>投标方的</w:t>
      </w:r>
      <w:r>
        <w:rPr>
          <w:rFonts w:ascii="宋体" w:hAnsi="宋体"/>
          <w:lang w:val="zh-CN"/>
        </w:rPr>
        <w:t>投标文件</w:t>
      </w:r>
      <w:r>
        <w:rPr>
          <w:rFonts w:hint="eastAsia" w:ascii="宋体" w:hAnsi="宋体"/>
        </w:rPr>
        <w:t>的审核部分</w:t>
      </w:r>
      <w:r>
        <w:rPr>
          <w:rFonts w:ascii="宋体" w:hAnsi="宋体"/>
          <w:lang w:val="zh-CN"/>
        </w:rPr>
        <w:t>是否合格、有效</w:t>
      </w:r>
      <w:r>
        <w:rPr>
          <w:rFonts w:hint="eastAsia" w:ascii="宋体" w:hAnsi="宋体"/>
        </w:rPr>
        <w:t>或评价审核得分</w:t>
      </w:r>
      <w:r>
        <w:rPr>
          <w:rFonts w:hint="eastAsia" w:ascii="宋体" w:hAnsi="宋体"/>
          <w:lang w:val="zh-CN"/>
        </w:rPr>
        <w:t>（</w:t>
      </w:r>
      <w:r>
        <w:rPr>
          <w:rFonts w:ascii="宋体" w:hAnsi="宋体"/>
          <w:lang w:val="zh-CN"/>
        </w:rPr>
        <w:t>凡不符合专业条件要求</w:t>
      </w:r>
      <w:r>
        <w:rPr>
          <w:rFonts w:hint="eastAsia" w:ascii="宋体" w:hAnsi="宋体"/>
          <w:lang w:val="zh-CN"/>
        </w:rPr>
        <w:t>项</w:t>
      </w:r>
      <w:r>
        <w:rPr>
          <w:rFonts w:ascii="宋体" w:hAnsi="宋体"/>
          <w:lang w:val="zh-CN"/>
        </w:rPr>
        <w:t>和未实质性响应</w:t>
      </w:r>
      <w:r>
        <w:rPr>
          <w:rFonts w:hint="eastAsia" w:ascii="宋体" w:hAnsi="宋体"/>
        </w:rPr>
        <w:t>审核</w:t>
      </w:r>
      <w:r>
        <w:rPr>
          <w:rFonts w:hint="eastAsia" w:ascii="宋体" w:hAnsi="宋体"/>
          <w:lang w:val="zh-CN"/>
        </w:rPr>
        <w:t>文件</w:t>
      </w:r>
      <w:r>
        <w:rPr>
          <w:rFonts w:ascii="宋体" w:hAnsi="宋体"/>
          <w:lang w:val="zh-CN"/>
        </w:rPr>
        <w:t>要求的</w:t>
      </w:r>
      <w:r>
        <w:rPr>
          <w:rFonts w:hint="eastAsia" w:ascii="宋体" w:hAnsi="宋体"/>
          <w:lang w:val="zh-CN"/>
        </w:rPr>
        <w:t>内容项</w:t>
      </w:r>
      <w:r>
        <w:rPr>
          <w:rFonts w:ascii="宋体" w:hAnsi="宋体"/>
          <w:lang w:val="zh-CN"/>
        </w:rPr>
        <w:t>均不</w:t>
      </w:r>
      <w:r>
        <w:rPr>
          <w:rFonts w:hint="eastAsia" w:ascii="宋体" w:hAnsi="宋体"/>
          <w:lang w:val="zh-CN"/>
        </w:rPr>
        <w:t>得分）</w:t>
      </w:r>
      <w:r>
        <w:rPr>
          <w:rFonts w:ascii="宋体" w:hAnsi="宋体"/>
          <w:lang w:val="zh-CN"/>
        </w:rPr>
        <w:t>。</w:t>
      </w:r>
    </w:p>
    <w:p>
      <w:pPr>
        <w:pStyle w:val="15"/>
        <w:numPr>
          <w:ilvl w:val="0"/>
          <w:numId w:val="2"/>
        </w:numPr>
        <w:spacing w:line="360" w:lineRule="auto"/>
        <w:ind w:left="0" w:firstLine="480"/>
        <w:rPr>
          <w:rFonts w:hint="eastAsia" w:ascii="宋体" w:hAnsi="宋体"/>
          <w:lang w:val="zh-CN"/>
        </w:rPr>
      </w:pPr>
      <w:r>
        <w:rPr>
          <w:rFonts w:ascii="宋体" w:hAnsi="宋体"/>
          <w:lang w:val="zh-CN"/>
        </w:rPr>
        <w:t>通过</w:t>
      </w:r>
      <w:r>
        <w:rPr>
          <w:rFonts w:hint="eastAsia" w:ascii="宋体" w:hAnsi="宋体"/>
          <w:lang w:val="zh-CN"/>
        </w:rPr>
        <w:t>企业入围预审审核的入围投标方</w:t>
      </w:r>
      <w:r>
        <w:rPr>
          <w:rFonts w:ascii="宋体" w:hAnsi="宋体"/>
          <w:lang w:val="zh-CN"/>
        </w:rPr>
        <w:t>，</w:t>
      </w:r>
      <w:r>
        <w:rPr>
          <w:rFonts w:hint="eastAsia" w:ascii="宋体" w:hAnsi="宋体"/>
        </w:rPr>
        <w:t>按照供应商能力审核评审项目/评分标准的评分标准和计分方法，对其供应商能力项进行评分和计分。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根据商务价格评分标准和计分方法,对其投标报价项进行评分和计分。</w:t>
      </w:r>
    </w:p>
    <w:p>
      <w:pPr>
        <w:pStyle w:val="15"/>
        <w:numPr>
          <w:ilvl w:val="0"/>
          <w:numId w:val="2"/>
        </w:numPr>
        <w:spacing w:line="360" w:lineRule="auto"/>
        <w:ind w:left="0" w:firstLine="480"/>
        <w:rPr>
          <w:rFonts w:hint="eastAsia" w:ascii="宋体" w:hAnsi="宋体"/>
          <w:lang w:val="zh-CN"/>
        </w:rPr>
      </w:pPr>
      <w:r>
        <w:rPr>
          <w:rFonts w:hint="eastAsia" w:ascii="宋体" w:hAnsi="宋体"/>
        </w:rPr>
        <w:t>根据供应商能力项的评分、商务价格项的评分的分配分值权重进行加权计算，计算出评标评审的最终综合评估分数，并按照从高到低依次进行排名，得出评审结果</w:t>
      </w:r>
      <w:bookmarkEnd w:id="9"/>
      <w:r>
        <w:rPr>
          <w:rFonts w:hint="eastAsia" w:ascii="宋体" w:hAnsi="宋体"/>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color w:val="FF0000"/>
          <w:sz w:val="28"/>
          <w:szCs w:val="28"/>
          <w:lang w:val="zh-CN"/>
        </w:rPr>
      </w:pPr>
      <w:r>
        <w:rPr>
          <w:rFonts w:hint="eastAsia" w:ascii="宋体" w:hAnsi="宋体"/>
          <w:b/>
          <w:sz w:val="28"/>
          <w:szCs w:val="28"/>
          <w:lang w:val="zh-CN"/>
        </w:rPr>
        <w:t>评标标准</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供应商商务B因素分</w:t>
      </w:r>
      <w:r>
        <w:rPr>
          <w:rFonts w:hint="eastAsia" w:ascii="宋体" w:hAnsi="宋体" w:cs="宋体"/>
          <w:b/>
          <w:lang w:val="zh-CN"/>
        </w:rPr>
        <w:t>F</w:t>
      </w:r>
      <w:r>
        <w:rPr>
          <w:rFonts w:hint="eastAsia" w:ascii="宋体" w:hAnsi="宋体" w:cs="宋体"/>
          <w:b/>
        </w:rPr>
        <w:t>1</w:t>
      </w:r>
      <w:r>
        <w:rPr>
          <w:rFonts w:hint="eastAsia" w:ascii="宋体" w:hAnsi="宋体" w:cs="宋体"/>
          <w:b/>
          <w:color w:val="FF0000"/>
          <w:lang w:val="zh-CN"/>
        </w:rPr>
        <w:t>（满分</w:t>
      </w:r>
      <w:r>
        <w:rPr>
          <w:rFonts w:hint="eastAsia" w:ascii="宋体" w:hAnsi="宋体" w:cs="宋体"/>
          <w:b/>
          <w:color w:val="FF0000"/>
        </w:rPr>
        <w:t>15分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lang w:val="zh-CN"/>
        </w:rPr>
      </w:pPr>
      <w:r>
        <w:rPr>
          <w:rFonts w:hint="eastAsia" w:ascii="宋体" w:hAnsi="宋体" w:cs="宋体"/>
          <w:bCs/>
        </w:rPr>
        <w:t>见表一：</w:t>
      </w:r>
      <w:r>
        <w:rPr>
          <w:rFonts w:hint="eastAsia" w:ascii="宋体" w:hAnsi="宋体"/>
          <w:bCs/>
        </w:rPr>
        <w:t>供应商商务B评审</w:t>
      </w:r>
      <w:r>
        <w:rPr>
          <w:rFonts w:hint="eastAsia" w:ascii="宋体" w:hAnsi="宋体" w:cs="宋体"/>
          <w:bCs/>
        </w:rPr>
        <w:t>项目/评分标准,按表一内容及评审分值进行评审。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供应商技术T因素分F2</w:t>
      </w:r>
      <w:r>
        <w:rPr>
          <w:rFonts w:hint="eastAsia" w:ascii="宋体" w:hAnsi="宋体" w:cs="宋体"/>
          <w:b/>
          <w:color w:val="FF0000"/>
          <w:lang w:val="zh-CN"/>
        </w:rPr>
        <w:t>（满分</w:t>
      </w:r>
      <w:r>
        <w:rPr>
          <w:rFonts w:hint="eastAsia" w:ascii="宋体" w:hAnsi="宋体" w:cs="宋体"/>
          <w:b/>
          <w:color w:val="FF0000"/>
        </w:rPr>
        <w:t>25分</w:t>
      </w:r>
      <w:r>
        <w:rPr>
          <w:rFonts w:hint="eastAsia" w:ascii="宋体" w:hAnsi="宋体" w:cs="宋体"/>
          <w:b/>
          <w:color w:val="FF0000"/>
          <w:lang w:val="zh-CN"/>
        </w:rPr>
        <w:t>）</w:t>
      </w:r>
    </w:p>
    <w:p>
      <w:pPr>
        <w:pStyle w:val="15"/>
        <w:spacing w:line="360" w:lineRule="auto"/>
        <w:ind w:firstLine="0" w:firstLineChars="0"/>
        <w:rPr>
          <w:rFonts w:hint="eastAsia" w:ascii="宋体" w:hAnsi="宋体" w:cs="宋体"/>
          <w:bCs/>
        </w:rPr>
      </w:pPr>
      <w:r>
        <w:rPr>
          <w:rFonts w:hint="eastAsia" w:ascii="宋体" w:hAnsi="宋体" w:cs="宋体"/>
          <w:bCs/>
        </w:rPr>
        <w:t>见表二：</w:t>
      </w:r>
      <w:r>
        <w:rPr>
          <w:rFonts w:hint="eastAsia" w:ascii="宋体" w:hAnsi="宋体"/>
          <w:bCs/>
        </w:rPr>
        <w:t>供应商技术T评审</w:t>
      </w:r>
      <w:r>
        <w:rPr>
          <w:rFonts w:hint="eastAsia" w:ascii="宋体" w:hAnsi="宋体" w:cs="宋体"/>
          <w:bCs/>
        </w:rPr>
        <w:t>项目/评分标准,按表二内容及评审分值进行评审。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rPr>
        <w:t>供应商</w:t>
      </w:r>
      <w:r>
        <w:rPr>
          <w:rFonts w:hint="eastAsia" w:ascii="宋体" w:hAnsi="宋体" w:cs="宋体"/>
          <w:b/>
          <w:szCs w:val="20"/>
        </w:rPr>
        <w:t>价格C</w:t>
      </w:r>
      <w:r>
        <w:rPr>
          <w:rFonts w:hint="eastAsia" w:ascii="宋体" w:hAnsi="宋体" w:cs="宋体"/>
          <w:b/>
          <w:szCs w:val="20"/>
          <w:lang w:val="zh-CN"/>
        </w:rPr>
        <w:t>因素分F</w:t>
      </w:r>
      <w:r>
        <w:rPr>
          <w:rFonts w:hint="eastAsia" w:ascii="宋体" w:hAnsi="宋体" w:cs="宋体"/>
          <w:b/>
          <w:szCs w:val="20"/>
        </w:rPr>
        <w:t>3</w:t>
      </w:r>
      <w:r>
        <w:rPr>
          <w:rFonts w:hint="eastAsia" w:ascii="宋体" w:hAnsi="宋体" w:cs="宋体"/>
          <w:b/>
          <w:color w:val="FF0000"/>
          <w:szCs w:val="20"/>
          <w:lang w:val="zh-CN"/>
        </w:rPr>
        <w:t>（满分</w:t>
      </w:r>
      <w:r>
        <w:rPr>
          <w:rFonts w:hint="eastAsia" w:ascii="宋体" w:hAnsi="宋体" w:cs="宋体"/>
          <w:b/>
          <w:color w:val="FF0000"/>
          <w:szCs w:val="20"/>
        </w:rPr>
        <w:t>60分）</w:t>
      </w:r>
    </w:p>
    <w:p>
      <w:pPr>
        <w:pStyle w:val="15"/>
        <w:spacing w:line="360" w:lineRule="auto"/>
        <w:ind w:firstLine="0" w:firstLineChars="0"/>
        <w:rPr>
          <w:rFonts w:hint="eastAsia" w:ascii="宋体" w:hAnsi="宋体" w:cs="宋体"/>
          <w:bCs/>
        </w:rPr>
      </w:pPr>
      <w:r>
        <w:rPr>
          <w:rFonts w:hint="eastAsia" w:ascii="宋体" w:hAnsi="宋体" w:cs="宋体"/>
          <w:bCs/>
        </w:rPr>
        <w:t>见表三：供应商价格C评审项目/评分标准,按表三内容及评审分值进行评审。</w:t>
      </w:r>
    </w:p>
    <w:p>
      <w:pPr>
        <w:pStyle w:val="15"/>
        <w:numPr>
          <w:ilvl w:val="0"/>
          <w:numId w:val="3"/>
        </w:numPr>
        <w:spacing w:line="360" w:lineRule="auto"/>
        <w:ind w:firstLineChars="0"/>
        <w:outlineLvl w:val="2"/>
        <w:rPr>
          <w:rFonts w:hint="eastAsia" w:ascii="宋体" w:hAnsi="宋体" w:cs="宋体"/>
          <w:b/>
          <w:lang w:val="zh-CN"/>
        </w:rPr>
      </w:pPr>
      <w:r>
        <w:rPr>
          <w:rFonts w:hint="eastAsia" w:ascii="宋体" w:hAnsi="宋体" w:cs="宋体"/>
          <w:b/>
          <w:lang w:val="zh-CN"/>
        </w:rPr>
        <w:t>评标</w:t>
      </w:r>
      <w:r>
        <w:rPr>
          <w:rFonts w:hint="eastAsia" w:ascii="宋体" w:hAnsi="宋体" w:cs="宋体"/>
          <w:b/>
        </w:rPr>
        <w:t>综合</w:t>
      </w:r>
      <w:r>
        <w:rPr>
          <w:rFonts w:hint="eastAsia" w:ascii="宋体" w:hAnsi="宋体" w:cs="宋体"/>
          <w:b/>
          <w:lang w:val="zh-CN"/>
        </w:rPr>
        <w:t>得分汇总</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各部分评分分值分布及评分标准如下:</w:t>
      </w:r>
    </w:p>
    <w:p>
      <w:pPr>
        <w:tabs>
          <w:tab w:val="left" w:pos="0"/>
        </w:tabs>
        <w:spacing w:line="360" w:lineRule="auto"/>
        <w:ind w:firstLine="480" w:firstLineChars="200"/>
        <w:rPr>
          <w:rFonts w:hint="eastAsia" w:ascii="宋体" w:hAnsi="宋体"/>
          <w:kern w:val="0"/>
          <w:sz w:val="24"/>
        </w:rPr>
      </w:pPr>
      <w:r>
        <w:rPr>
          <w:rFonts w:hint="eastAsia" w:ascii="宋体" w:hAnsi="宋体"/>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pPr>
        <w:tabs>
          <w:tab w:val="left" w:pos="0"/>
        </w:tabs>
        <w:spacing w:line="360" w:lineRule="auto"/>
        <w:ind w:firstLine="482" w:firstLineChars="200"/>
        <w:rPr>
          <w:rFonts w:hint="eastAsia" w:ascii="宋体" w:hAnsi="宋体" w:cs="宋体"/>
          <w:b/>
          <w:color w:val="FF0000"/>
          <w:sz w:val="24"/>
          <w:szCs w:val="20"/>
        </w:rPr>
      </w:pPr>
      <w:r>
        <w:rPr>
          <w:rFonts w:hint="eastAsia" w:ascii="宋体" w:hAnsi="宋体"/>
          <w:b/>
          <w:color w:val="FF0000"/>
          <w:sz w:val="24"/>
        </w:rPr>
        <w:t>综合得分＝F1+F2</w:t>
      </w:r>
      <w:r>
        <w:rPr>
          <w:rFonts w:ascii="宋体" w:hAnsi="宋体"/>
          <w:b/>
          <w:color w:val="FF0000"/>
          <w:sz w:val="24"/>
        </w:rPr>
        <w:t>+F3</w:t>
      </w:r>
    </w:p>
    <w:p>
      <w:pPr>
        <w:pStyle w:val="15"/>
        <w:numPr>
          <w:ilvl w:val="0"/>
          <w:numId w:val="3"/>
        </w:numPr>
        <w:tabs>
          <w:tab w:val="left" w:pos="0"/>
        </w:tabs>
        <w:spacing w:line="360" w:lineRule="auto"/>
        <w:ind w:firstLineChars="0"/>
        <w:outlineLvl w:val="2"/>
        <w:rPr>
          <w:rFonts w:hint="eastAsia" w:ascii="宋体" w:hAnsi="宋体" w:cs="宋体"/>
          <w:b/>
          <w:color w:val="FF0000"/>
          <w:szCs w:val="20"/>
        </w:rPr>
      </w:pPr>
      <w:r>
        <w:rPr>
          <w:rFonts w:ascii="宋体" w:hAnsi="宋体" w:cs="宋体"/>
          <w:b/>
          <w:lang w:val="zh-CN"/>
        </w:rPr>
        <w:t>推荐</w:t>
      </w:r>
      <w:r>
        <w:rPr>
          <w:rFonts w:hint="eastAsia" w:ascii="宋体" w:hAnsi="宋体" w:cs="宋体"/>
          <w:b/>
          <w:lang w:val="zh-CN"/>
        </w:rPr>
        <w:t>中标候选人</w:t>
      </w:r>
      <w:r>
        <w:rPr>
          <w:rFonts w:ascii="宋体" w:hAnsi="宋体" w:cs="宋体"/>
          <w:b/>
          <w:lang w:val="zh-CN"/>
        </w:rPr>
        <w:t>名单</w:t>
      </w:r>
    </w:p>
    <w:p>
      <w:pPr>
        <w:spacing w:line="360" w:lineRule="auto"/>
        <w:ind w:firstLine="480" w:firstLineChars="200"/>
        <w:rPr>
          <w:rFonts w:hint="eastAsia" w:ascii="宋体" w:hAnsi="宋体" w:cs="宋体"/>
          <w:b/>
          <w:sz w:val="24"/>
          <w:lang w:val="zh-CN"/>
        </w:rPr>
      </w:pPr>
      <w:r>
        <w:rPr>
          <w:rFonts w:ascii="宋体" w:hAnsi="宋体" w:cs="宋体"/>
          <w:sz w:val="24"/>
        </w:rPr>
        <w:t>1、</w:t>
      </w:r>
      <w:r>
        <w:rPr>
          <w:rFonts w:hint="eastAsia" w:ascii="宋体" w:hAnsi="宋体" w:cs="宋体"/>
          <w:sz w:val="24"/>
        </w:rPr>
        <w:t>项目或各标段的中标候选人</w:t>
      </w:r>
      <w:r>
        <w:rPr>
          <w:rFonts w:ascii="宋体" w:hAnsi="宋体" w:cs="宋体"/>
          <w:sz w:val="24"/>
        </w:rPr>
        <w:t>数量：</w:t>
      </w:r>
      <w:r>
        <w:rPr>
          <w:rFonts w:ascii="宋体" w:hAnsi="宋体" w:cs="宋体"/>
          <w:b/>
          <w:sz w:val="24"/>
          <w:u w:val="single"/>
        </w:rPr>
        <w:t xml:space="preserve"> </w:t>
      </w:r>
      <w:r>
        <w:rPr>
          <w:rFonts w:hint="eastAsia" w:ascii="宋体" w:hAnsi="宋体" w:cs="宋体"/>
          <w:b/>
          <w:sz w:val="24"/>
          <w:u w:val="single"/>
        </w:rPr>
        <w:t xml:space="preserve"> </w:t>
      </w:r>
      <w:r>
        <w:rPr>
          <w:rFonts w:hint="eastAsia" w:ascii="宋体" w:hAnsi="宋体" w:cs="宋体"/>
          <w:b/>
          <w:color w:val="0000FF"/>
          <w:sz w:val="24"/>
          <w:u w:val="single"/>
        </w:rPr>
        <w:t xml:space="preserve">3 </w:t>
      </w:r>
      <w:r>
        <w:rPr>
          <w:rFonts w:ascii="宋体" w:hAnsi="宋体" w:cs="宋体"/>
          <w:b/>
          <w:sz w:val="24"/>
          <w:u w:val="single"/>
        </w:rPr>
        <w:t xml:space="preserve"> </w:t>
      </w:r>
      <w:r>
        <w:rPr>
          <w:rFonts w:ascii="宋体" w:hAnsi="宋体" w:cs="宋体"/>
          <w:sz w:val="24"/>
        </w:rPr>
        <w:t>个。</w:t>
      </w:r>
    </w:p>
    <w:p>
      <w:pPr>
        <w:spacing w:line="360" w:lineRule="auto"/>
        <w:ind w:firstLine="480" w:firstLineChars="200"/>
        <w:rPr>
          <w:rFonts w:hint="eastAsia" w:ascii="宋体" w:hAnsi="宋体" w:cs="宋体"/>
          <w:bCs/>
          <w:sz w:val="24"/>
        </w:rPr>
      </w:pPr>
      <w:r>
        <w:rPr>
          <w:rFonts w:ascii="宋体" w:hAnsi="宋体" w:cs="宋体"/>
          <w:sz w:val="24"/>
        </w:rPr>
        <w:t>2、</w:t>
      </w:r>
      <w:r>
        <w:rPr>
          <w:rFonts w:hint="eastAsia" w:ascii="宋体" w:hAnsi="宋体" w:cs="宋体"/>
          <w:sz w:val="24"/>
        </w:rPr>
        <w:t>中标候选人</w:t>
      </w:r>
      <w:r>
        <w:rPr>
          <w:rFonts w:ascii="宋体" w:hAnsi="宋体" w:cs="宋体"/>
          <w:sz w:val="24"/>
        </w:rPr>
        <w:t>排列顺序。经投标文件</w:t>
      </w:r>
      <w:r>
        <w:rPr>
          <w:rFonts w:hint="eastAsia" w:ascii="宋体" w:hAnsi="宋体"/>
          <w:sz w:val="24"/>
        </w:rPr>
        <w:t>资格审核</w:t>
      </w:r>
      <w:r>
        <w:rPr>
          <w:rFonts w:ascii="宋体" w:hAnsi="宋体" w:cs="宋体"/>
          <w:sz w:val="24"/>
        </w:rPr>
        <w:t>、澄清有关问题、比较与</w:t>
      </w:r>
      <w:r>
        <w:rPr>
          <w:rFonts w:hint="eastAsia" w:ascii="宋体" w:hAnsi="宋体" w:cs="宋体"/>
          <w:sz w:val="24"/>
        </w:rPr>
        <w:t>评审</w:t>
      </w:r>
      <w:r>
        <w:rPr>
          <w:rFonts w:ascii="宋体" w:hAnsi="宋体" w:cs="宋体"/>
          <w:sz w:val="24"/>
        </w:rPr>
        <w:t>评标程序后，按以下办法推荐</w:t>
      </w:r>
      <w:r>
        <w:rPr>
          <w:rFonts w:hint="eastAsia" w:ascii="宋体" w:hAnsi="宋体" w:cs="宋体"/>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hint="eastAsia" w:ascii="宋体" w:hAnsi="宋体" w:cs="宋体"/>
          <w:bCs/>
          <w:sz w:val="24"/>
        </w:rPr>
        <w:t>；综合</w:t>
      </w:r>
      <w:r>
        <w:rPr>
          <w:rFonts w:ascii="宋体" w:hAnsi="宋体" w:cs="宋体"/>
          <w:bCs/>
          <w:sz w:val="24"/>
        </w:rPr>
        <w:t>得分相同的，按</w:t>
      </w:r>
      <w:r>
        <w:rPr>
          <w:rFonts w:hint="eastAsia" w:ascii="宋体" w:hAnsi="宋体" w:cs="宋体"/>
          <w:bCs/>
          <w:sz w:val="24"/>
        </w:rPr>
        <w:t>商务报价分项</w:t>
      </w:r>
      <w:r>
        <w:rPr>
          <w:rFonts w:ascii="宋体" w:hAnsi="宋体" w:cs="宋体"/>
          <w:bCs/>
          <w:sz w:val="24"/>
        </w:rPr>
        <w:t>由低到高顺序排列</w:t>
      </w:r>
      <w:r>
        <w:rPr>
          <w:rFonts w:hint="eastAsia" w:ascii="宋体" w:hAnsi="宋体" w:cs="宋体"/>
          <w:bCs/>
          <w:sz w:val="24"/>
        </w:rPr>
        <w:t>；综合</w:t>
      </w:r>
      <w:r>
        <w:rPr>
          <w:rFonts w:ascii="宋体" w:hAnsi="宋体" w:cs="宋体"/>
          <w:bCs/>
          <w:sz w:val="24"/>
        </w:rPr>
        <w:t>得分且</w:t>
      </w:r>
      <w:r>
        <w:rPr>
          <w:rFonts w:hint="eastAsia" w:ascii="宋体" w:hAnsi="宋体" w:cs="宋体"/>
          <w:bCs/>
          <w:sz w:val="24"/>
        </w:rPr>
        <w:t>商务</w:t>
      </w:r>
      <w:r>
        <w:rPr>
          <w:rFonts w:ascii="宋体" w:hAnsi="宋体" w:cs="宋体"/>
          <w:bCs/>
          <w:sz w:val="24"/>
        </w:rPr>
        <w:t>报价相同的，按</w:t>
      </w:r>
      <w:r>
        <w:rPr>
          <w:rFonts w:hint="eastAsia" w:ascii="宋体" w:hAnsi="宋体" w:cs="宋体"/>
          <w:bCs/>
          <w:sz w:val="24"/>
        </w:rPr>
        <w:t>供应商在投标时的注册资本（若有入围预审的，以入围审核</w:t>
      </w:r>
      <w:r>
        <w:rPr>
          <w:rFonts w:ascii="宋体" w:hAnsi="宋体" w:cs="宋体"/>
          <w:bCs/>
          <w:sz w:val="24"/>
        </w:rPr>
        <w:t>得分</w:t>
      </w:r>
      <w:r>
        <w:rPr>
          <w:rFonts w:hint="eastAsia" w:ascii="宋体" w:hAnsi="宋体" w:cs="宋体"/>
          <w:bCs/>
          <w:sz w:val="24"/>
        </w:rPr>
        <w:t>）</w:t>
      </w:r>
      <w:r>
        <w:rPr>
          <w:rFonts w:ascii="宋体" w:hAnsi="宋体" w:cs="宋体"/>
          <w:bCs/>
          <w:sz w:val="24"/>
        </w:rPr>
        <w:t>由高到低顺序排列</w:t>
      </w:r>
      <w:r>
        <w:rPr>
          <w:rFonts w:hint="eastAsia" w:ascii="宋体" w:hAnsi="宋体" w:cs="宋体"/>
          <w:bCs/>
          <w:sz w:val="24"/>
        </w:rPr>
        <w:t>。</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ascii="宋体" w:hAnsi="宋体"/>
          <w:b/>
          <w:sz w:val="28"/>
          <w:szCs w:val="28"/>
          <w:lang w:val="zh-CN"/>
        </w:rPr>
        <w:t>定标原则</w:t>
      </w:r>
    </w:p>
    <w:p>
      <w:pPr>
        <w:spacing w:line="360" w:lineRule="auto"/>
        <w:ind w:firstLine="562" w:firstLineChars="200"/>
        <w:rPr>
          <w:rFonts w:hint="eastAsia" w:ascii="宋体" w:hAnsi="宋体"/>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b/>
          <w:color w:val="FF0000"/>
          <w:sz w:val="28"/>
          <w:szCs w:val="28"/>
          <w:u w:val="single"/>
        </w:rPr>
        <w:t>1</w:t>
      </w:r>
      <w:r>
        <w:rPr>
          <w:rFonts w:ascii="宋体" w:hAnsi="宋体"/>
          <w:b/>
          <w:sz w:val="28"/>
          <w:szCs w:val="28"/>
          <w:u w:val="single"/>
          <w:lang w:val="zh-CN"/>
        </w:rPr>
        <w:t xml:space="preserve"> </w:t>
      </w:r>
      <w:r>
        <w:rPr>
          <w:rFonts w:ascii="宋体" w:hAnsi="宋体"/>
          <w:b/>
          <w:sz w:val="28"/>
          <w:szCs w:val="28"/>
          <w:lang w:val="zh-CN"/>
        </w:rPr>
        <w:t>个。</w:t>
      </w:r>
    </w:p>
    <w:p>
      <w:pPr>
        <w:pStyle w:val="15"/>
        <w:numPr>
          <w:ilvl w:val="1"/>
          <w:numId w:val="2"/>
        </w:numPr>
        <w:spacing w:line="360" w:lineRule="auto"/>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pPr>
        <w:pStyle w:val="15"/>
        <w:numPr>
          <w:ilvl w:val="1"/>
          <w:numId w:val="2"/>
        </w:numPr>
        <w:spacing w:line="360" w:lineRule="auto"/>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pPr>
        <w:pStyle w:val="15"/>
        <w:numPr>
          <w:ilvl w:val="1"/>
          <w:numId w:val="2"/>
        </w:numPr>
        <w:spacing w:line="360" w:lineRule="auto"/>
        <w:ind w:left="0" w:firstLine="480"/>
      </w:pPr>
      <w:r>
        <w:rPr>
          <w:rFonts w:hint="eastAsia" w:hAnsi="宋体"/>
        </w:rPr>
        <w:t>在中标人无法通过现场审核或无法正常签订及履行合同的情况下，采购人有权依照中标候选人名单排序顺延其他中标候选人作为中标人或者重新组织招标</w:t>
      </w:r>
      <w:r>
        <w:rPr>
          <w:rFonts w:hint="eastAsia" w:ascii="宋体" w:hAnsi="宋体" w:cs="宋体"/>
        </w:rPr>
        <w:t>。</w:t>
      </w:r>
    </w:p>
    <w:p>
      <w:pPr>
        <w:spacing w:line="360" w:lineRule="auto"/>
        <w:rPr>
          <w:b/>
          <w:bCs/>
          <w:sz w:val="24"/>
          <w:szCs w:val="24"/>
        </w:rPr>
      </w:pPr>
      <w:r>
        <w:rPr>
          <w:b/>
          <w:bCs/>
          <w:sz w:val="24"/>
          <w:szCs w:val="24"/>
        </w:rPr>
        <w:t>投标人参与本项目的投标，即视为同意上述</w:t>
      </w:r>
      <w:r>
        <w:rPr>
          <w:rFonts w:hint="eastAsia"/>
          <w:b/>
          <w:bCs/>
          <w:sz w:val="24"/>
          <w:szCs w:val="24"/>
        </w:rPr>
        <w:t>定标方式。</w:t>
      </w:r>
    </w:p>
    <w:p>
      <w:pPr>
        <w:pStyle w:val="15"/>
        <w:numPr>
          <w:ilvl w:val="0"/>
          <w:numId w:val="1"/>
        </w:numPr>
        <w:spacing w:before="156" w:beforeLines="50" w:after="156" w:afterLines="50" w:line="440" w:lineRule="exact"/>
        <w:ind w:left="442" w:hanging="442" w:firstLineChars="0"/>
        <w:outlineLvl w:val="1"/>
        <w:rPr>
          <w:rFonts w:hint="eastAsia" w:ascii="宋体" w:hAnsi="宋体"/>
          <w:b/>
          <w:sz w:val="28"/>
          <w:szCs w:val="28"/>
          <w:lang w:val="zh-CN"/>
        </w:rPr>
      </w:pPr>
      <w:r>
        <w:rPr>
          <w:rFonts w:hint="eastAsia" w:ascii="宋体" w:hAnsi="宋体"/>
          <w:b/>
          <w:sz w:val="28"/>
          <w:szCs w:val="28"/>
          <w:lang w:val="zh-CN"/>
        </w:rPr>
        <w:t>评审相关及追责</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标后履约管理由招标需求部门或相应采购部门负责；针对中标供应商的商务B、技术T、价格C方面，相应责任部门应建立起有效的合同履行和评价体系，进行有效监管。</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①若为中标人存在弄虚作假、隐瞒欺骗，造成严重的资质、技术、产品质量性能、交付供应、售后服务及其他承诺不履行等问题，将严格追究中标人的责任和造成损失的赔偿；</w:t>
      </w:r>
    </w:p>
    <w:p>
      <w:pPr>
        <w:pStyle w:val="15"/>
        <w:spacing w:line="360" w:lineRule="auto"/>
        <w:ind w:firstLine="48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pPr>
        <w:pStyle w:val="15"/>
        <w:numPr>
          <w:ilvl w:val="0"/>
          <w:numId w:val="4"/>
        </w:numPr>
        <w:spacing w:line="360" w:lineRule="auto"/>
        <w:ind w:left="0" w:firstLine="480"/>
        <w:rPr>
          <w:rFonts w:hint="eastAsia" w:ascii="宋体" w:hAnsi="宋体"/>
          <w:color w:val="000000" w:themeColor="text1"/>
          <w14:textFill>
            <w14:solidFill>
              <w14:schemeClr w14:val="tx1"/>
            </w14:solidFill>
          </w14:textFill>
        </w:rPr>
        <w:sectPr>
          <w:pgSz w:w="11906" w:h="16838"/>
          <w:pgMar w:top="1418" w:right="1134" w:bottom="851" w:left="1418" w:header="851" w:footer="992" w:gutter="0"/>
          <w:cols w:space="425" w:num="1"/>
          <w:docGrid w:type="lines" w:linePitch="312" w:charSpace="0"/>
        </w:sectPr>
      </w:pPr>
      <w:r>
        <w:rPr>
          <w:rFonts w:hint="eastAsia" w:ascii="宋体" w:hAnsi="宋体"/>
          <w:color w:val="000000" w:themeColor="text1"/>
          <w14:textFill>
            <w14:solidFill>
              <w14:schemeClr w14:val="tx1"/>
            </w14:solidFill>
          </w14:textFill>
        </w:rPr>
        <w:t>招标中心可组织对评审小组评标专家的履职情况进行评价，作为年度评标专家考核的依据，视阶段履职考核进行评审活动的劳务报酬、奖励分配及评审资格延续。</w:t>
      </w:r>
    </w:p>
    <w:p>
      <w:pPr>
        <w:outlineLvl w:val="2"/>
        <w:rPr>
          <w:rFonts w:hint="eastAsia" w:ascii="宋体" w:hAnsi="宋体"/>
          <w:b/>
          <w:bCs/>
          <w:color w:val="000000" w:themeColor="text1"/>
          <w:sz w:val="24"/>
          <w:szCs w:val="24"/>
          <w14:textFill>
            <w14:solidFill>
              <w14:schemeClr w14:val="tx1"/>
            </w14:solidFill>
          </w14:textFill>
        </w:rPr>
      </w:pPr>
      <w:bookmarkStart w:id="10" w:name="_Toc217295097"/>
      <w:r>
        <w:rPr>
          <w:rFonts w:hint="eastAsia" w:ascii="宋体" w:hAnsi="宋体"/>
          <w:b/>
          <w:bCs/>
          <w:color w:val="000000" w:themeColor="text1"/>
          <w:sz w:val="24"/>
          <w:szCs w:val="24"/>
          <w14:textFill>
            <w14:solidFill>
              <w14:schemeClr w14:val="tx1"/>
            </w14:solidFill>
          </w14:textFill>
        </w:rPr>
        <w:t>表一：供应商商务B审核评审项目/评分标准</w:t>
      </w:r>
      <w:bookmarkEnd w:id="10"/>
    </w:p>
    <w:p>
      <w:pPr>
        <w:spacing w:line="360" w:lineRule="auto"/>
        <w:rPr>
          <w:rFonts w:hint="eastAsia" w:ascii="宋体" w:hAnsi="宋体"/>
          <w:b/>
          <w:bCs/>
          <w:color w:val="0000FF"/>
          <w:szCs w:val="21"/>
        </w:rPr>
      </w:pPr>
    </w:p>
    <w:tbl>
      <w:tblPr>
        <w:tblStyle w:val="14"/>
        <w:tblW w:w="155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097"/>
        <w:gridCol w:w="2199"/>
        <w:gridCol w:w="1097"/>
        <w:gridCol w:w="10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596" w:type="dxa"/>
            <w:shd w:val="clear" w:color="auto" w:fill="D9D9D9"/>
            <w:vAlign w:val="center"/>
          </w:tcPr>
          <w:p>
            <w:pPr>
              <w:widowControl/>
              <w:spacing w:line="240" w:lineRule="exact"/>
              <w:jc w:val="center"/>
              <w:rPr>
                <w:rFonts w:hint="eastAsia" w:ascii="宋体" w:hAnsi="宋体" w:cs="宋体"/>
                <w:b/>
                <w:bCs/>
                <w:color w:val="000000"/>
                <w:kern w:val="0"/>
                <w:sz w:val="18"/>
                <w:szCs w:val="18"/>
              </w:rPr>
            </w:pPr>
            <w:bookmarkStart w:id="11" w:name="OLE_LINK89"/>
            <w:r>
              <w:rPr>
                <w:rFonts w:hint="eastAsia" w:ascii="宋体" w:hAnsi="宋体" w:cs="宋体"/>
                <w:b/>
                <w:bCs/>
                <w:color w:val="000000"/>
                <w:kern w:val="0"/>
                <w:sz w:val="18"/>
                <w:szCs w:val="18"/>
              </w:rPr>
              <w:t>序</w:t>
            </w:r>
          </w:p>
        </w:tc>
        <w:tc>
          <w:tcPr>
            <w:tcW w:w="1097"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199"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097"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10585" w:type="dxa"/>
            <w:shd w:val="clear" w:color="auto" w:fill="D9D9D9"/>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r>
              <w:rPr>
                <w:rFonts w:hint="eastAsia" w:ascii="宋体" w:hAnsi="宋体" w:cs="宋体"/>
                <w:b/>
                <w:bCs/>
                <w:color w:val="FF0000"/>
                <w:kern w:val="0"/>
                <w:sz w:val="18"/>
                <w:szCs w:val="18"/>
              </w:rPr>
              <w:t>（面向供应商）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jc w:val="center"/>
        </w:trPr>
        <w:tc>
          <w:tcPr>
            <w:tcW w:w="596" w:type="dxa"/>
            <w:vMerge w:val="restart"/>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1</w:t>
            </w:r>
          </w:p>
        </w:tc>
        <w:tc>
          <w:tcPr>
            <w:tcW w:w="1097" w:type="dxa"/>
            <w:vMerge w:val="restart"/>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商务B</w:t>
            </w:r>
          </w:p>
        </w:tc>
        <w:tc>
          <w:tcPr>
            <w:tcW w:w="2199" w:type="dxa"/>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kern w:val="0"/>
                <w:sz w:val="18"/>
                <w:szCs w:val="18"/>
              </w:rPr>
              <w:t>相当规模订单业绩</w:t>
            </w:r>
          </w:p>
        </w:tc>
        <w:tc>
          <w:tcPr>
            <w:tcW w:w="1097" w:type="dxa"/>
            <w:vMerge w:val="restart"/>
            <w:vAlign w:val="center"/>
          </w:tcPr>
          <w:p>
            <w:pPr>
              <w:widowControl/>
              <w:spacing w:line="240" w:lineRule="exact"/>
              <w:jc w:val="center"/>
              <w:rPr>
                <w:rFonts w:hint="eastAsia" w:ascii="宋体" w:hAnsi="宋体" w:cs="宋体"/>
                <w:b/>
                <w:bCs/>
                <w:color w:val="0000FF"/>
                <w:kern w:val="0"/>
                <w:sz w:val="18"/>
                <w:szCs w:val="18"/>
              </w:rPr>
            </w:pPr>
            <w:r>
              <w:rPr>
                <w:rFonts w:hint="eastAsia" w:ascii="宋体" w:hAnsi="宋体" w:cs="宋体"/>
                <w:b/>
                <w:bCs/>
                <w:color w:val="0000FF"/>
                <w:kern w:val="0"/>
                <w:sz w:val="18"/>
                <w:szCs w:val="18"/>
              </w:rPr>
              <w:t>15分</w:t>
            </w:r>
          </w:p>
        </w:tc>
        <w:tc>
          <w:tcPr>
            <w:tcW w:w="10585" w:type="dxa"/>
            <w:vAlign w:val="center"/>
          </w:tcPr>
          <w:p>
            <w:pPr>
              <w:widowControl/>
              <w:tabs>
                <w:tab w:val="left" w:pos="312"/>
              </w:tabs>
              <w:spacing w:line="240" w:lineRule="exact"/>
              <w:jc w:val="left"/>
              <w:rPr>
                <w:rFonts w:hint="eastAsia" w:ascii="宋体" w:hAnsi="宋体" w:cs="宋体"/>
                <w:b/>
                <w:bCs/>
                <w:color w:val="000000"/>
                <w:kern w:val="0"/>
                <w:sz w:val="18"/>
                <w:szCs w:val="18"/>
              </w:rPr>
            </w:pPr>
            <w:r>
              <w:rPr>
                <w:rFonts w:ascii="宋体" w:hAnsi="宋体" w:cs="宋体"/>
                <w:b/>
                <w:bCs/>
                <w:color w:val="000000"/>
                <w:kern w:val="0"/>
                <w:sz w:val="18"/>
                <w:szCs w:val="18"/>
              </w:rPr>
              <w:t>提供近</w:t>
            </w:r>
            <w:r>
              <w:rPr>
                <w:rFonts w:ascii="宋体" w:hAnsi="宋体" w:cs="宋体"/>
                <w:b/>
                <w:bCs/>
                <w:color w:val="0000FF"/>
                <w:kern w:val="0"/>
                <w:sz w:val="18"/>
                <w:szCs w:val="18"/>
              </w:rPr>
              <w:t>3年（2023-202</w:t>
            </w:r>
            <w:r>
              <w:rPr>
                <w:rFonts w:hint="eastAsia" w:ascii="宋体" w:hAnsi="宋体" w:cs="宋体"/>
                <w:b/>
                <w:bCs/>
                <w:color w:val="0000FF"/>
                <w:kern w:val="0"/>
                <w:sz w:val="18"/>
                <w:szCs w:val="18"/>
                <w:lang w:val="en-US" w:eastAsia="zh-CN"/>
              </w:rPr>
              <w:t>6</w:t>
            </w:r>
            <w:r>
              <w:rPr>
                <w:rFonts w:ascii="宋体" w:hAnsi="宋体" w:cs="宋体"/>
                <w:b/>
                <w:bCs/>
                <w:color w:val="0000FF"/>
                <w:kern w:val="0"/>
                <w:sz w:val="18"/>
                <w:szCs w:val="18"/>
              </w:rPr>
              <w:t>年度）</w:t>
            </w:r>
            <w:r>
              <w:rPr>
                <w:rFonts w:ascii="宋体" w:hAnsi="宋体" w:cs="宋体"/>
                <w:b/>
                <w:bCs/>
                <w:color w:val="000000"/>
                <w:kern w:val="0"/>
                <w:sz w:val="18"/>
                <w:szCs w:val="18"/>
              </w:rPr>
              <w:t>与拟招标标的</w:t>
            </w:r>
            <w:r>
              <w:rPr>
                <w:rFonts w:hint="eastAsia" w:ascii="宋体" w:hAnsi="宋体" w:cs="宋体"/>
                <w:b/>
                <w:bCs/>
                <w:color w:val="0000FF"/>
                <w:kern w:val="0"/>
                <w:sz w:val="18"/>
                <w:szCs w:val="18"/>
                <w:lang w:val="en-US" w:eastAsia="zh-CN"/>
              </w:rPr>
              <w:t>地坪漆改造</w:t>
            </w:r>
            <w:r>
              <w:rPr>
                <w:rFonts w:ascii="宋体" w:hAnsi="宋体" w:cs="宋体"/>
                <w:b/>
                <w:bCs/>
                <w:color w:val="0000FF"/>
                <w:kern w:val="0"/>
                <w:sz w:val="18"/>
                <w:szCs w:val="18"/>
              </w:rPr>
              <w:t>项目</w:t>
            </w:r>
            <w:r>
              <w:rPr>
                <w:rFonts w:ascii="宋体" w:hAnsi="宋体" w:cs="宋体"/>
                <w:b/>
                <w:bCs/>
                <w:color w:val="000000"/>
                <w:kern w:val="0"/>
                <w:sz w:val="18"/>
                <w:szCs w:val="18"/>
              </w:rPr>
              <w:t>的清单-提供相应采购合同证明（必要时隐去敏感相关项）及结算凭证（包含但不限于</w:t>
            </w:r>
            <w:r>
              <w:rPr>
                <w:rFonts w:hint="eastAsia" w:ascii="宋体" w:hAnsi="宋体" w:cs="宋体"/>
                <w:b/>
                <w:bCs/>
                <w:color w:val="000000"/>
                <w:kern w:val="0"/>
                <w:sz w:val="18"/>
                <w:szCs w:val="18"/>
                <w:lang w:val="en-US" w:eastAsia="zh-CN"/>
              </w:rPr>
              <w:t>验收单，</w:t>
            </w:r>
            <w:r>
              <w:rPr>
                <w:rFonts w:ascii="宋体" w:hAnsi="宋体" w:cs="宋体"/>
                <w:b/>
                <w:bCs/>
                <w:color w:val="000000"/>
                <w:kern w:val="0"/>
                <w:sz w:val="18"/>
                <w:szCs w:val="18"/>
              </w:rPr>
              <w:t>发票或付款凭证或银行转账记录等结算凭证）。按年度交易金额排序，提供不得少于</w:t>
            </w:r>
            <w:r>
              <w:rPr>
                <w:rFonts w:ascii="宋体" w:hAnsi="宋体" w:cs="宋体"/>
                <w:b/>
                <w:bCs/>
                <w:color w:val="0000FF"/>
                <w:kern w:val="0"/>
                <w:sz w:val="18"/>
                <w:szCs w:val="18"/>
              </w:rPr>
              <w:t>2个</w:t>
            </w:r>
            <w:r>
              <w:rPr>
                <w:rFonts w:ascii="宋体" w:hAnsi="宋体" w:cs="宋体"/>
                <w:b/>
                <w:bCs/>
                <w:color w:val="000000"/>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6" w:hRule="atLeast"/>
          <w:jc w:val="center"/>
        </w:trPr>
        <w:tc>
          <w:tcPr>
            <w:tcW w:w="59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2199" w:type="dxa"/>
            <w:vAlign w:val="center"/>
          </w:tcPr>
          <w:p>
            <w:pPr>
              <w:spacing w:line="240" w:lineRule="exact"/>
              <w:jc w:val="center"/>
              <w:rPr>
                <w:rFonts w:hint="eastAsia" w:ascii="宋体" w:hAnsi="宋体" w:cs="宋体"/>
                <w:b/>
                <w:bCs/>
                <w:color w:val="000000"/>
                <w:kern w:val="0"/>
                <w:sz w:val="18"/>
                <w:szCs w:val="18"/>
              </w:rPr>
            </w:pPr>
            <w:r>
              <w:rPr>
                <w:rFonts w:ascii="宋体" w:hAnsi="宋体" w:cs="宋体"/>
                <w:b/>
                <w:bCs/>
                <w:kern w:val="0"/>
                <w:sz w:val="18"/>
                <w:szCs w:val="18"/>
              </w:rPr>
              <w:t>工期时长承诺</w:t>
            </w:r>
          </w:p>
        </w:tc>
        <w:tc>
          <w:tcPr>
            <w:tcW w:w="1097" w:type="dxa"/>
            <w:vMerge w:val="continue"/>
            <w:vAlign w:val="center"/>
          </w:tcPr>
          <w:p>
            <w:pPr>
              <w:spacing w:line="240" w:lineRule="exact"/>
              <w:jc w:val="center"/>
              <w:rPr>
                <w:rFonts w:hint="eastAsia" w:ascii="宋体" w:hAnsi="宋体" w:cs="宋体"/>
                <w:b/>
                <w:bCs/>
                <w:color w:val="000000"/>
                <w:kern w:val="0"/>
                <w:sz w:val="18"/>
                <w:szCs w:val="18"/>
              </w:rPr>
            </w:pPr>
          </w:p>
        </w:tc>
        <w:tc>
          <w:tcPr>
            <w:tcW w:w="10585" w:type="dxa"/>
            <w:vAlign w:val="center"/>
          </w:tcPr>
          <w:p>
            <w:pPr>
              <w:widowControl/>
              <w:spacing w:line="240" w:lineRule="exact"/>
              <w:jc w:val="left"/>
              <w:rPr>
                <w:rFonts w:hint="eastAsia" w:ascii="宋体" w:hAnsi="宋体" w:cs="宋体"/>
                <w:b/>
                <w:bCs/>
                <w:color w:val="0000FF"/>
                <w:kern w:val="0"/>
                <w:sz w:val="18"/>
                <w:szCs w:val="18"/>
              </w:rPr>
            </w:pPr>
            <w:bookmarkStart w:id="12" w:name="OLE_LINK39"/>
            <w:r>
              <w:rPr>
                <w:rFonts w:hint="eastAsia" w:ascii="宋体" w:hAnsi="宋体" w:cs="宋体"/>
                <w:b/>
                <w:bCs/>
                <w:kern w:val="0"/>
                <w:sz w:val="18"/>
                <w:szCs w:val="18"/>
              </w:rPr>
              <w:t>根据实际情况考虑施工组织和工期，提供约定工期时间的承诺函。</w:t>
            </w:r>
            <w:r>
              <w:rPr>
                <w:rFonts w:hint="eastAsia" w:ascii="宋体" w:hAnsi="宋体" w:cs="宋体"/>
                <w:b/>
                <w:bCs/>
                <w:color w:val="0000FF"/>
                <w:kern w:val="0"/>
                <w:sz w:val="18"/>
                <w:szCs w:val="18"/>
              </w:rPr>
              <w:t>（≤</w:t>
            </w:r>
            <w:r>
              <w:rPr>
                <w:rFonts w:hint="eastAsia" w:ascii="宋体" w:hAnsi="宋体" w:cs="宋体"/>
                <w:b/>
                <w:bCs/>
                <w:color w:val="0000FF"/>
                <w:kern w:val="0"/>
                <w:sz w:val="18"/>
                <w:szCs w:val="18"/>
                <w:lang w:val="en-US" w:eastAsia="zh-CN"/>
              </w:rPr>
              <w:t>15</w:t>
            </w:r>
            <w:r>
              <w:rPr>
                <w:rFonts w:hint="eastAsia" w:ascii="宋体" w:hAnsi="宋体" w:cs="宋体"/>
                <w:b/>
                <w:bCs/>
                <w:color w:val="0000FF"/>
                <w:kern w:val="0"/>
                <w:sz w:val="18"/>
                <w:szCs w:val="18"/>
              </w:rPr>
              <w:t>自然日）</w:t>
            </w:r>
          </w:p>
          <w:p>
            <w:pPr>
              <w:widowControl/>
              <w:spacing w:line="240" w:lineRule="exact"/>
              <w:jc w:val="left"/>
              <w:rPr>
                <w:rFonts w:hint="eastAsia" w:ascii="宋体" w:hAnsi="宋体" w:cs="宋体"/>
                <w:b/>
                <w:bCs/>
                <w:kern w:val="0"/>
                <w:sz w:val="18"/>
                <w:szCs w:val="18"/>
              </w:rPr>
            </w:pPr>
            <w:r>
              <w:rPr>
                <w:rFonts w:hint="eastAsia" w:ascii="宋体" w:hAnsi="宋体" w:cs="宋体"/>
                <w:b/>
                <w:bCs/>
                <w:kern w:val="0"/>
                <w:sz w:val="18"/>
                <w:szCs w:val="18"/>
              </w:rPr>
              <w:t>【可参考附件五-条款二、质量、交期、售后承诺及响应填入相应的工期时长天数并盖章确认】</w:t>
            </w:r>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jc w:val="center"/>
        </w:trPr>
        <w:tc>
          <w:tcPr>
            <w:tcW w:w="59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2199" w:type="dxa"/>
            <w:vAlign w:val="center"/>
          </w:tcPr>
          <w:p>
            <w:pPr>
              <w:spacing w:line="240" w:lineRule="exact"/>
              <w:jc w:val="center"/>
              <w:rPr>
                <w:rFonts w:hint="eastAsia" w:ascii="宋体" w:hAnsi="宋体" w:cs="宋体"/>
                <w:b/>
                <w:bCs/>
                <w:color w:val="000000"/>
                <w:kern w:val="0"/>
                <w:sz w:val="18"/>
                <w:szCs w:val="18"/>
              </w:rPr>
            </w:pPr>
            <w:r>
              <w:rPr>
                <w:rFonts w:hint="eastAsia" w:ascii="宋体" w:hAnsi="宋体" w:cs="宋体"/>
                <w:b/>
                <w:bCs/>
                <w:kern w:val="0"/>
                <w:sz w:val="18"/>
                <w:szCs w:val="18"/>
              </w:rPr>
              <w:t>体系证书</w:t>
            </w:r>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585" w:type="dxa"/>
            <w:vAlign w:val="center"/>
          </w:tcPr>
          <w:p>
            <w:pPr>
              <w:widowControl/>
              <w:spacing w:line="240" w:lineRule="exact"/>
              <w:jc w:val="left"/>
              <w:rPr>
                <w:rFonts w:hint="eastAsia" w:ascii="宋体" w:hAnsi="宋体" w:cs="宋体"/>
                <w:b/>
                <w:bCs/>
                <w:kern w:val="0"/>
                <w:sz w:val="18"/>
                <w:szCs w:val="18"/>
              </w:rPr>
            </w:pPr>
            <w:r>
              <w:rPr>
                <w:rFonts w:hint="eastAsia" w:ascii="宋体" w:hAnsi="宋体" w:cs="宋体"/>
                <w:b/>
                <w:bCs/>
                <w:kern w:val="0"/>
                <w:sz w:val="18"/>
                <w:szCs w:val="18"/>
              </w:rPr>
              <w:t>提供全国认证认可信息公共服务平台（http://cx.cnca.cn） 网站查询截图，以证明证书的真实性和有效性。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596" w:type="dxa"/>
            <w:vMerge w:val="continue"/>
            <w:vAlign w:val="center"/>
          </w:tcPr>
          <w:p>
            <w:pPr>
              <w:widowControl/>
              <w:spacing w:line="240" w:lineRule="exact"/>
              <w:jc w:val="center"/>
              <w:rPr>
                <w:rFonts w:hint="eastAsia" w:ascii="宋体" w:hAnsi="宋体" w:cs="宋体"/>
                <w:b/>
                <w:bCs/>
                <w:color w:val="000000"/>
                <w:kern w:val="0"/>
                <w:sz w:val="18"/>
                <w:szCs w:val="18"/>
              </w:rPr>
            </w:pPr>
            <w:bookmarkStart w:id="13" w:name="_Hlk223250060"/>
            <w:bookmarkStart w:id="14" w:name="OLE_LINK59" w:colFirst="4" w:colLast="4"/>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2199" w:type="dxa"/>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kern w:val="0"/>
                <w:sz w:val="18"/>
                <w:szCs w:val="18"/>
              </w:rPr>
              <w:t>质保时间承诺</w:t>
            </w:r>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585" w:type="dxa"/>
            <w:vAlign w:val="center"/>
          </w:tcPr>
          <w:p>
            <w:pPr>
              <w:widowControl/>
              <w:spacing w:line="240" w:lineRule="exact"/>
              <w:jc w:val="left"/>
              <w:rPr>
                <w:rFonts w:hint="eastAsia" w:ascii="宋体" w:hAnsi="宋体" w:cs="宋体"/>
                <w:b/>
                <w:bCs/>
                <w:kern w:val="0"/>
                <w:sz w:val="18"/>
                <w:szCs w:val="18"/>
              </w:rPr>
            </w:pPr>
            <w:r>
              <w:rPr>
                <w:rFonts w:hint="eastAsia" w:ascii="宋体" w:hAnsi="宋体" w:cs="宋体"/>
                <w:b/>
                <w:bCs/>
                <w:kern w:val="0"/>
                <w:sz w:val="18"/>
                <w:szCs w:val="18"/>
              </w:rPr>
              <w:t>根据实际情况考虑工程质量保障，提供约定质保年限的承诺函。（</w:t>
            </w:r>
            <w:r>
              <w:rPr>
                <w:rFonts w:hint="eastAsia" w:ascii="宋体" w:hAnsi="宋体" w:cs="宋体"/>
                <w:b/>
                <w:bCs/>
                <w:color w:val="0000FF"/>
                <w:kern w:val="0"/>
                <w:sz w:val="18"/>
                <w:szCs w:val="18"/>
              </w:rPr>
              <w:t>1年、1.5年、2年</w:t>
            </w:r>
            <w:r>
              <w:rPr>
                <w:rFonts w:hint="eastAsia" w:ascii="宋体" w:hAnsi="宋体" w:cs="宋体"/>
                <w:b/>
                <w:bCs/>
                <w:kern w:val="0"/>
                <w:sz w:val="18"/>
                <w:szCs w:val="18"/>
              </w:rPr>
              <w:t>）</w:t>
            </w:r>
          </w:p>
          <w:p>
            <w:pPr>
              <w:widowControl/>
              <w:spacing w:line="240" w:lineRule="exact"/>
              <w:jc w:val="left"/>
              <w:rPr>
                <w:rFonts w:hint="eastAsia" w:ascii="宋体" w:hAnsi="宋体" w:cs="宋体"/>
                <w:b/>
                <w:bCs/>
                <w:kern w:val="0"/>
                <w:sz w:val="18"/>
                <w:szCs w:val="18"/>
              </w:rPr>
            </w:pPr>
            <w:r>
              <w:rPr>
                <w:rFonts w:hint="eastAsia" w:ascii="宋体" w:hAnsi="宋体" w:cs="宋体"/>
                <w:b/>
                <w:bCs/>
                <w:kern w:val="0"/>
                <w:sz w:val="18"/>
                <w:szCs w:val="18"/>
              </w:rPr>
              <w:t>【可参考附件五-条款二、质量、交期、售后承诺及响应填入相应的质保年限并盖章确认】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jc w:val="center"/>
        </w:trPr>
        <w:tc>
          <w:tcPr>
            <w:tcW w:w="596"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2199" w:type="dxa"/>
            <w:tcBorders>
              <w:bottom w:val="single" w:color="auto" w:sz="4" w:space="0"/>
            </w:tcBorders>
            <w:vAlign w:val="center"/>
          </w:tcPr>
          <w:p>
            <w:pPr>
              <w:widowControl/>
              <w:spacing w:line="240" w:lineRule="exact"/>
              <w:jc w:val="center"/>
              <w:rPr>
                <w:rFonts w:ascii="宋体" w:hAnsi="宋体" w:cs="宋体"/>
                <w:b/>
                <w:bCs/>
                <w:kern w:val="0"/>
                <w:sz w:val="18"/>
                <w:szCs w:val="18"/>
              </w:rPr>
            </w:pPr>
            <w:r>
              <w:rPr>
                <w:rFonts w:ascii="宋体" w:hAnsi="宋体" w:cs="宋体"/>
                <w:b/>
                <w:bCs/>
                <w:kern w:val="0"/>
                <w:sz w:val="18"/>
                <w:szCs w:val="18"/>
              </w:rPr>
              <w:t>人员保险承诺</w:t>
            </w:r>
          </w:p>
        </w:tc>
        <w:tc>
          <w:tcPr>
            <w:tcW w:w="1097" w:type="dxa"/>
            <w:vMerge w:val="continue"/>
            <w:vAlign w:val="center"/>
          </w:tcPr>
          <w:p>
            <w:pPr>
              <w:widowControl/>
              <w:spacing w:line="240" w:lineRule="exact"/>
              <w:jc w:val="center"/>
              <w:rPr>
                <w:rFonts w:hint="eastAsia" w:ascii="宋体" w:hAnsi="宋体" w:cs="宋体"/>
                <w:b/>
                <w:bCs/>
                <w:color w:val="000000"/>
                <w:kern w:val="0"/>
                <w:sz w:val="18"/>
                <w:szCs w:val="18"/>
              </w:rPr>
            </w:pPr>
          </w:p>
        </w:tc>
        <w:tc>
          <w:tcPr>
            <w:tcW w:w="10585" w:type="dxa"/>
            <w:tcBorders>
              <w:bottom w:val="single" w:color="auto" w:sz="4" w:space="0"/>
            </w:tcBorders>
            <w:vAlign w:val="center"/>
          </w:tcPr>
          <w:p>
            <w:pPr>
              <w:widowControl/>
              <w:spacing w:line="240" w:lineRule="exact"/>
              <w:jc w:val="left"/>
              <w:rPr>
                <w:rFonts w:ascii="宋体" w:hAnsi="宋体" w:cs="宋体"/>
                <w:b/>
                <w:bCs/>
                <w:kern w:val="0"/>
                <w:sz w:val="18"/>
                <w:szCs w:val="18"/>
              </w:rPr>
            </w:pPr>
            <w:r>
              <w:rPr>
                <w:rFonts w:hint="eastAsia" w:ascii="宋体" w:hAnsi="宋体" w:cs="宋体"/>
                <w:b/>
                <w:bCs/>
                <w:kern w:val="0"/>
                <w:sz w:val="18"/>
                <w:szCs w:val="18"/>
              </w:rPr>
              <w:t>根据实际情况考虑相关工程项目人员保险，提供约定保额的承诺函。（</w:t>
            </w:r>
            <w:bookmarkStart w:id="27" w:name="_GoBack"/>
            <w:bookmarkEnd w:id="27"/>
            <w:r>
              <w:rPr>
                <w:rFonts w:hint="eastAsia" w:ascii="宋体" w:hAnsi="宋体" w:cs="宋体"/>
                <w:b/>
                <w:bCs/>
                <w:color w:val="0000FF"/>
                <w:kern w:val="0"/>
                <w:sz w:val="18"/>
                <w:szCs w:val="18"/>
              </w:rPr>
              <w:t>50万元/人、100万元/人及以上</w:t>
            </w:r>
            <w:r>
              <w:rPr>
                <w:rFonts w:hint="eastAsia" w:ascii="宋体" w:hAnsi="宋体" w:cs="宋体"/>
                <w:b/>
                <w:bCs/>
                <w:kern w:val="0"/>
                <w:sz w:val="18"/>
                <w:szCs w:val="18"/>
              </w:rPr>
              <w:t>）</w:t>
            </w:r>
          </w:p>
          <w:p>
            <w:pPr>
              <w:widowControl/>
              <w:spacing w:line="240" w:lineRule="exact"/>
              <w:jc w:val="left"/>
              <w:rPr>
                <w:rFonts w:hint="eastAsia" w:ascii="宋体" w:hAnsi="宋体" w:cs="宋体"/>
                <w:b/>
                <w:bCs/>
                <w:kern w:val="0"/>
                <w:sz w:val="18"/>
                <w:szCs w:val="18"/>
              </w:rPr>
            </w:pPr>
            <w:r>
              <w:rPr>
                <w:rFonts w:hint="eastAsia" w:ascii="宋体" w:hAnsi="宋体" w:cs="宋体"/>
                <w:b/>
                <w:bCs/>
                <w:kern w:val="0"/>
                <w:sz w:val="18"/>
                <w:szCs w:val="18"/>
              </w:rPr>
              <w:t>【可参考附件五-条款三、</w:t>
            </w:r>
            <w:r>
              <w:rPr>
                <w:rFonts w:ascii="宋体" w:hAnsi="宋体" w:cs="宋体"/>
                <w:b/>
                <w:bCs/>
                <w:kern w:val="0"/>
                <w:sz w:val="18"/>
                <w:szCs w:val="18"/>
              </w:rPr>
              <w:t>工程项目人员保险承诺及响应</w:t>
            </w:r>
            <w:r>
              <w:rPr>
                <w:rFonts w:hint="eastAsia" w:ascii="宋体" w:hAnsi="宋体" w:cs="宋体"/>
                <w:b/>
                <w:bCs/>
                <w:kern w:val="0"/>
                <w:sz w:val="18"/>
                <w:szCs w:val="18"/>
              </w:rPr>
              <w:t>填入相应的承诺保险金额并盖章确认】</w:t>
            </w:r>
          </w:p>
        </w:tc>
      </w:tr>
      <w:bookmarkEnd w:id="11"/>
      <w:bookmarkEnd w:id="13"/>
      <w:bookmarkEnd w:id="14"/>
    </w:tbl>
    <w:p>
      <w:pPr>
        <w:spacing w:line="360" w:lineRule="auto"/>
        <w:outlineLvl w:val="2"/>
        <w:rPr>
          <w:rFonts w:hint="eastAsia" w:ascii="宋体" w:hAnsi="宋体"/>
          <w:b/>
          <w:bCs/>
          <w:color w:val="0000FF"/>
          <w:sz w:val="24"/>
          <w:szCs w:val="24"/>
        </w:rPr>
        <w:sectPr>
          <w:pgSz w:w="16838" w:h="11906" w:orient="landscape"/>
          <w:pgMar w:top="1134" w:right="1134" w:bottom="851" w:left="1134" w:header="851" w:footer="992" w:gutter="0"/>
          <w:cols w:space="425" w:num="1"/>
          <w:docGrid w:type="lines" w:linePitch="312" w:charSpace="0"/>
        </w:sectPr>
      </w:pPr>
    </w:p>
    <w:p>
      <w:pPr>
        <w:spacing w:line="360" w:lineRule="auto"/>
        <w:outlineLvl w:val="2"/>
        <w:rPr>
          <w:rFonts w:hint="eastAsia"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表二：供应商技术T审核评审项目/评分标准</w:t>
      </w:r>
    </w:p>
    <w:p>
      <w:pPr>
        <w:spacing w:line="360" w:lineRule="auto"/>
        <w:rPr>
          <w:rFonts w:hint="eastAsia" w:ascii="宋体" w:hAnsi="宋体"/>
          <w:b/>
          <w:bCs/>
          <w:color w:val="FF0000"/>
          <w:sz w:val="24"/>
          <w:szCs w:val="24"/>
        </w:rPr>
      </w:pPr>
    </w:p>
    <w:tbl>
      <w:tblPr>
        <w:tblStyle w:val="14"/>
        <w:tblW w:w="15637" w:type="dxa"/>
        <w:jc w:val="center"/>
        <w:tblInd w:w="113" w:type="dxa"/>
        <w:tblLayout w:type="fixed"/>
        <w:tblCellMar>
          <w:top w:w="0" w:type="dxa"/>
          <w:left w:w="108" w:type="dxa"/>
          <w:bottom w:w="0" w:type="dxa"/>
          <w:right w:w="108" w:type="dxa"/>
        </w:tblCellMar>
      </w:tblPr>
      <w:tblGrid>
        <w:gridCol w:w="564"/>
        <w:gridCol w:w="1135"/>
        <w:gridCol w:w="2270"/>
        <w:gridCol w:w="1132"/>
        <w:gridCol w:w="10536"/>
      </w:tblGrid>
      <w:tr>
        <w:tblPrEx>
          <w:tblLayout w:type="fixed"/>
          <w:tblCellMar>
            <w:top w:w="0" w:type="dxa"/>
            <w:left w:w="108" w:type="dxa"/>
            <w:bottom w:w="0" w:type="dxa"/>
            <w:right w:w="108" w:type="dxa"/>
          </w:tblCellMar>
        </w:tblPrEx>
        <w:trPr>
          <w:trHeight w:val="497" w:hRule="atLeast"/>
          <w:jc w:val="center"/>
        </w:trPr>
        <w:tc>
          <w:tcPr>
            <w:tcW w:w="56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40" w:lineRule="exact"/>
              <w:jc w:val="center"/>
              <w:rPr>
                <w:rFonts w:hint="eastAsia" w:ascii="宋体" w:hAnsi="宋体" w:cs="宋体"/>
                <w:b/>
                <w:bCs/>
                <w:color w:val="000000"/>
                <w:kern w:val="0"/>
                <w:sz w:val="18"/>
                <w:szCs w:val="18"/>
              </w:rPr>
            </w:pPr>
            <w:bookmarkStart w:id="15" w:name="OLE_LINK91"/>
            <w:bookmarkStart w:id="16" w:name="_Toc217295098"/>
            <w:r>
              <w:rPr>
                <w:rFonts w:hint="eastAsia" w:ascii="宋体" w:hAnsi="宋体" w:cs="宋体"/>
                <w:b/>
                <w:bCs/>
                <w:color w:val="000000"/>
                <w:kern w:val="0"/>
                <w:sz w:val="18"/>
                <w:szCs w:val="18"/>
              </w:rPr>
              <w:t>序</w:t>
            </w:r>
          </w:p>
        </w:tc>
        <w:tc>
          <w:tcPr>
            <w:tcW w:w="1135"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270"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132"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10536" w:type="dxa"/>
            <w:tcBorders>
              <w:top w:val="single" w:color="auto" w:sz="4" w:space="0"/>
              <w:left w:val="nil"/>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资料提供说明</w:t>
            </w:r>
            <w:r>
              <w:rPr>
                <w:rFonts w:hint="eastAsia" w:ascii="宋体" w:hAnsi="宋体" w:cs="宋体"/>
                <w:b/>
                <w:bCs/>
                <w:color w:val="FF0000"/>
                <w:kern w:val="0"/>
                <w:sz w:val="18"/>
                <w:szCs w:val="18"/>
              </w:rPr>
              <w:t>（面向供应商）</w:t>
            </w:r>
          </w:p>
        </w:tc>
      </w:tr>
      <w:tr>
        <w:tblPrEx>
          <w:tblLayout w:type="fixed"/>
          <w:tblCellMar>
            <w:top w:w="0" w:type="dxa"/>
            <w:left w:w="108" w:type="dxa"/>
            <w:bottom w:w="0" w:type="dxa"/>
            <w:right w:w="108" w:type="dxa"/>
          </w:tblCellMar>
        </w:tblPrEx>
        <w:trPr>
          <w:trHeight w:val="387" w:hRule="atLeast"/>
          <w:jc w:val="center"/>
        </w:trPr>
        <w:tc>
          <w:tcPr>
            <w:tcW w:w="564" w:type="dxa"/>
            <w:vMerge w:val="restart"/>
            <w:tcBorders>
              <w:top w:val="single" w:color="auto" w:sz="4" w:space="0"/>
              <w:left w:val="single" w:color="auto" w:sz="4" w:space="0"/>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bookmarkStart w:id="17" w:name="_Hlk230167605"/>
            <w:bookmarkStart w:id="18" w:name="OLE_LINK76" w:colFirst="4" w:colLast="4"/>
            <w:bookmarkStart w:id="19" w:name="OLE_LINK78" w:colFirst="4" w:colLast="4"/>
            <w:r>
              <w:rPr>
                <w:rFonts w:ascii="宋体" w:hAnsi="宋体" w:cs="宋体"/>
                <w:b/>
                <w:bCs/>
                <w:color w:val="000000"/>
                <w:kern w:val="0"/>
                <w:sz w:val="18"/>
                <w:szCs w:val="18"/>
              </w:rPr>
              <w:t>2</w:t>
            </w:r>
          </w:p>
        </w:tc>
        <w:tc>
          <w:tcPr>
            <w:tcW w:w="1135" w:type="dxa"/>
            <w:vMerge w:val="restart"/>
            <w:tcBorders>
              <w:top w:val="single" w:color="auto" w:sz="4" w:space="0"/>
              <w:left w:val="single" w:color="auto" w:sz="4" w:space="0"/>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技术T</w:t>
            </w:r>
          </w:p>
        </w:tc>
        <w:tc>
          <w:tcPr>
            <w:tcW w:w="2270" w:type="dxa"/>
            <w:tcBorders>
              <w:top w:val="single" w:color="auto" w:sz="4" w:space="0"/>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bookmarkStart w:id="20" w:name="OLE_LINK62"/>
            <w:r>
              <w:rPr>
                <w:rFonts w:ascii="宋体" w:hAnsi="宋体" w:cs="宋体"/>
                <w:b/>
                <w:bCs/>
                <w:color w:val="000000"/>
                <w:kern w:val="0"/>
                <w:sz w:val="18"/>
                <w:szCs w:val="18"/>
              </w:rPr>
              <w:t>施工组织方案</w:t>
            </w:r>
            <w:bookmarkEnd w:id="20"/>
          </w:p>
        </w:tc>
        <w:tc>
          <w:tcPr>
            <w:tcW w:w="1132" w:type="dxa"/>
            <w:vMerge w:val="restart"/>
            <w:tcBorders>
              <w:top w:val="single" w:color="auto" w:sz="4" w:space="0"/>
              <w:left w:val="nil"/>
              <w:right w:val="single" w:color="auto" w:sz="4" w:space="0"/>
            </w:tcBorders>
            <w:vAlign w:val="center"/>
          </w:tcPr>
          <w:p>
            <w:pPr>
              <w:widowControl/>
              <w:spacing w:line="240" w:lineRule="exact"/>
              <w:jc w:val="center"/>
              <w:rPr>
                <w:rFonts w:hint="eastAsia" w:ascii="宋体" w:hAnsi="宋体" w:cs="宋体"/>
                <w:b/>
                <w:bCs/>
                <w:color w:val="0000FF"/>
                <w:kern w:val="0"/>
                <w:sz w:val="18"/>
                <w:szCs w:val="18"/>
              </w:rPr>
            </w:pPr>
            <w:r>
              <w:rPr>
                <w:rFonts w:hint="eastAsia" w:ascii="宋体" w:hAnsi="宋体" w:cs="宋体"/>
                <w:b/>
                <w:bCs/>
                <w:color w:val="0000FF"/>
                <w:kern w:val="0"/>
                <w:sz w:val="18"/>
                <w:szCs w:val="18"/>
              </w:rPr>
              <w:t>25分</w:t>
            </w:r>
          </w:p>
        </w:tc>
        <w:tc>
          <w:tcPr>
            <w:tcW w:w="10536" w:type="dxa"/>
            <w:tcBorders>
              <w:top w:val="single" w:color="auto" w:sz="4" w:space="0"/>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0000FF"/>
                <w:kern w:val="0"/>
                <w:sz w:val="18"/>
                <w:szCs w:val="18"/>
              </w:rPr>
            </w:pPr>
            <w:r>
              <w:rPr>
                <w:rFonts w:hint="eastAsia" w:ascii="宋体" w:hAnsi="宋体" w:eastAsia="宋体" w:cs="宋体"/>
                <w:b/>
                <w:bCs/>
                <w:color w:val="000000"/>
                <w:kern w:val="0"/>
                <w:sz w:val="18"/>
                <w:szCs w:val="18"/>
              </w:rPr>
              <w:t>提供</w:t>
            </w:r>
            <w:r>
              <w:rPr>
                <w:rFonts w:ascii="宋体" w:hAnsi="宋体" w:eastAsia="宋体" w:cs="宋体"/>
                <w:b/>
                <w:bCs/>
                <w:color w:val="000000"/>
                <w:kern w:val="0"/>
                <w:sz w:val="18"/>
                <w:szCs w:val="18"/>
              </w:rPr>
              <w:t>施工组织方案</w:t>
            </w:r>
            <w:r>
              <w:rPr>
                <w:rFonts w:hint="eastAsia" w:ascii="宋体" w:hAnsi="宋体" w:eastAsia="宋体" w:cs="宋体"/>
                <w:b/>
                <w:bCs/>
                <w:color w:val="0000FF"/>
                <w:kern w:val="0"/>
                <w:sz w:val="18"/>
                <w:szCs w:val="18"/>
              </w:rPr>
              <w:t>【</w:t>
            </w:r>
            <w:r>
              <w:rPr>
                <w:rFonts w:ascii="宋体" w:hAnsi="宋体" w:eastAsia="宋体" w:cs="宋体"/>
                <w:b/>
                <w:bCs/>
                <w:color w:val="0000FF"/>
                <w:kern w:val="0"/>
                <w:sz w:val="18"/>
                <w:szCs w:val="18"/>
              </w:rPr>
              <w:t>方案应包含：①施工方案与工艺；②施工技术措施；③施工重点、难点及对应措施等】</w:t>
            </w:r>
            <w:r>
              <w:rPr>
                <w:rFonts w:hint="eastAsia" w:ascii="宋体" w:hAnsi="宋体" w:eastAsia="宋体" w:cs="宋体"/>
                <w:b/>
                <w:bCs/>
                <w:color w:val="0000FF"/>
                <w:kern w:val="0"/>
                <w:sz w:val="18"/>
                <w:szCs w:val="18"/>
                <w:lang w:eastAsia="zh-CN"/>
              </w:rPr>
              <w:t>，</w:t>
            </w:r>
            <w:r>
              <w:rPr>
                <w:rFonts w:hint="eastAsia" w:ascii="宋体" w:hAnsi="宋体" w:eastAsia="宋体" w:cs="宋体"/>
                <w:b/>
                <w:bCs/>
                <w:color w:val="000000"/>
                <w:kern w:val="0"/>
                <w:sz w:val="18"/>
                <w:szCs w:val="18"/>
                <w:lang w:val="en-US" w:eastAsia="zh-CN"/>
              </w:rPr>
              <w:t>如有现场踏勘，请附上现场踏勘报告（详见附件十一）。</w:t>
            </w:r>
          </w:p>
        </w:tc>
      </w:tr>
      <w:bookmarkEnd w:id="17"/>
      <w:bookmarkEnd w:id="18"/>
      <w:bookmarkEnd w:id="19"/>
      <w:tr>
        <w:tblPrEx>
          <w:tblLayout w:type="fixed"/>
          <w:tblCellMar>
            <w:top w:w="0" w:type="dxa"/>
            <w:left w:w="108" w:type="dxa"/>
            <w:bottom w:w="0" w:type="dxa"/>
            <w:right w:w="108" w:type="dxa"/>
          </w:tblCellMar>
        </w:tblPrEx>
        <w:trPr>
          <w:trHeight w:val="549" w:hRule="atLeast"/>
          <w:jc w:val="center"/>
        </w:trPr>
        <w:tc>
          <w:tcPr>
            <w:tcW w:w="5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eastAsia="宋体" w:cs="宋体"/>
                <w:b/>
                <w:bCs/>
                <w:color w:val="000000"/>
                <w:kern w:val="0"/>
                <w:sz w:val="18"/>
                <w:szCs w:val="18"/>
                <w:lang w:val="en-US" w:eastAsia="zh-CN"/>
              </w:rPr>
            </w:pPr>
            <w:r>
              <w:rPr>
                <w:rFonts w:hint="eastAsia" w:ascii="宋体" w:hAnsi="宋体" w:cs="宋体"/>
                <w:b/>
                <w:bCs/>
                <w:color w:val="000000"/>
                <w:kern w:val="0"/>
                <w:sz w:val="18"/>
                <w:szCs w:val="18"/>
                <w:lang w:val="en-US" w:eastAsia="zh-CN"/>
              </w:rPr>
              <w:t>企业资质及项目经理实力</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FF0000"/>
                <w:kern w:val="0"/>
                <w:sz w:val="18"/>
                <w:szCs w:val="18"/>
                <w:lang w:val="en-US" w:eastAsia="zh-CN"/>
              </w:rPr>
            </w:pPr>
            <w:r>
              <w:rPr>
                <w:rFonts w:ascii="宋体" w:hAnsi="宋体" w:eastAsia="宋体" w:cs="宋体"/>
                <w:b/>
                <w:bCs/>
                <w:color w:val="000000"/>
                <w:kern w:val="0"/>
                <w:sz w:val="18"/>
                <w:szCs w:val="18"/>
              </w:rPr>
              <w:t>提供</w:t>
            </w:r>
            <w:r>
              <w:rPr>
                <w:rFonts w:hint="eastAsia" w:ascii="宋体" w:hAnsi="宋体" w:eastAsia="宋体" w:cs="宋体"/>
                <w:b/>
                <w:bCs/>
                <w:color w:val="000000"/>
                <w:kern w:val="0"/>
                <w:sz w:val="18"/>
                <w:szCs w:val="18"/>
                <w:lang w:val="en-US" w:eastAsia="zh-CN"/>
              </w:rPr>
              <w:t>企业资质证明材料，拟投入的项目经理注册建造师证书扫描件及投标截止时间前连续三个月(不含投标截止时间的当月)在投标方单位为其缴纳的社保证明材料。</w:t>
            </w:r>
          </w:p>
        </w:tc>
      </w:tr>
      <w:tr>
        <w:tblPrEx>
          <w:tblLayout w:type="fixed"/>
          <w:tblCellMar>
            <w:top w:w="0" w:type="dxa"/>
            <w:left w:w="108" w:type="dxa"/>
            <w:bottom w:w="0" w:type="dxa"/>
            <w:right w:w="108" w:type="dxa"/>
          </w:tblCellMar>
        </w:tblPrEx>
        <w:trPr>
          <w:trHeight w:val="557" w:hRule="atLeast"/>
          <w:jc w:val="center"/>
        </w:trPr>
        <w:tc>
          <w:tcPr>
            <w:tcW w:w="5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eastAsia="宋体" w:cs="宋体"/>
                <w:b/>
                <w:bCs/>
                <w:color w:val="000000"/>
                <w:kern w:val="0"/>
                <w:sz w:val="18"/>
                <w:szCs w:val="18"/>
                <w:lang w:val="en-US" w:eastAsia="zh-CN"/>
              </w:rPr>
            </w:pPr>
            <w:r>
              <w:rPr>
                <w:rFonts w:hint="eastAsia" w:ascii="宋体" w:hAnsi="宋体" w:eastAsia="宋体" w:cs="宋体"/>
                <w:b/>
                <w:bCs/>
                <w:color w:val="000000"/>
                <w:kern w:val="0"/>
                <w:sz w:val="18"/>
                <w:szCs w:val="18"/>
                <w:highlight w:val="none"/>
                <w:lang w:val="en-US" w:eastAsia="zh-CN"/>
              </w:rPr>
              <w:t>竣工实体性能检测方案</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0000FF"/>
                <w:kern w:val="0"/>
                <w:sz w:val="18"/>
                <w:szCs w:val="18"/>
                <w:lang w:val="en-US" w:eastAsia="zh-CN"/>
              </w:rPr>
            </w:pPr>
            <w:r>
              <w:rPr>
                <w:rFonts w:hint="eastAsia" w:ascii="宋体" w:hAnsi="宋体" w:eastAsia="宋体" w:cs="宋体"/>
                <w:b/>
                <w:bCs/>
                <w:color w:val="0000FF"/>
                <w:kern w:val="0"/>
                <w:sz w:val="18"/>
                <w:szCs w:val="18"/>
                <w:highlight w:val="none"/>
                <w:lang w:val="en-US" w:eastAsia="zh-CN"/>
              </w:rPr>
              <w:t>提供竣工实体性能检测方案</w:t>
            </w:r>
            <w:r>
              <w:rPr>
                <w:rFonts w:hint="eastAsia" w:ascii="宋体" w:hAnsi="宋体" w:eastAsia="宋体" w:cs="宋体"/>
                <w:b/>
                <w:bCs/>
                <w:color w:val="0000FF"/>
                <w:kern w:val="0"/>
                <w:sz w:val="18"/>
                <w:szCs w:val="18"/>
                <w:highlight w:val="none"/>
              </w:rPr>
              <w:t>【</w:t>
            </w:r>
            <w:r>
              <w:rPr>
                <w:rFonts w:ascii="宋体" w:hAnsi="宋体" w:eastAsia="宋体" w:cs="宋体"/>
                <w:b/>
                <w:bCs/>
                <w:color w:val="0000FF"/>
                <w:kern w:val="0"/>
                <w:sz w:val="18"/>
                <w:szCs w:val="18"/>
                <w:highlight w:val="none"/>
              </w:rPr>
              <w:t>方案应包含</w:t>
            </w:r>
            <w:r>
              <w:rPr>
                <w:rFonts w:hint="eastAsia" w:ascii="宋体" w:hAnsi="宋体" w:eastAsia="宋体" w:cs="宋体"/>
                <w:b/>
                <w:bCs/>
                <w:color w:val="0000FF"/>
                <w:kern w:val="0"/>
                <w:sz w:val="18"/>
                <w:szCs w:val="18"/>
                <w:highlight w:val="none"/>
                <w:lang w:val="en-US" w:eastAsia="zh-CN"/>
              </w:rPr>
              <w:t>但不限于</w:t>
            </w:r>
            <w:r>
              <w:rPr>
                <w:rFonts w:ascii="宋体" w:hAnsi="宋体" w:eastAsia="宋体" w:cs="宋体"/>
                <w:b/>
                <w:bCs/>
                <w:color w:val="0000FF"/>
                <w:kern w:val="0"/>
                <w:sz w:val="18"/>
                <w:szCs w:val="18"/>
                <w:highlight w:val="none"/>
              </w:rPr>
              <w:t>：</w:t>
            </w:r>
            <w:r>
              <w:rPr>
                <w:rFonts w:hint="eastAsia" w:ascii="宋体" w:hAnsi="宋体" w:eastAsia="宋体" w:cs="宋体"/>
                <w:b/>
                <w:bCs/>
                <w:color w:val="0000FF"/>
                <w:kern w:val="0"/>
                <w:sz w:val="18"/>
                <w:szCs w:val="18"/>
                <w:highlight w:val="none"/>
              </w:rPr>
              <w:t>硬度、附着力、抗冲击性核心物理性能指标的检测方法、测点密度、合格标准及对应检测设备和措施等</w:t>
            </w:r>
            <w:r>
              <w:rPr>
                <w:rFonts w:ascii="宋体" w:hAnsi="宋体" w:eastAsia="宋体" w:cs="宋体"/>
                <w:b/>
                <w:bCs/>
                <w:color w:val="0000FF"/>
                <w:kern w:val="0"/>
                <w:sz w:val="18"/>
                <w:szCs w:val="18"/>
                <w:highlight w:val="none"/>
              </w:rPr>
              <w:t>】</w:t>
            </w:r>
          </w:p>
        </w:tc>
      </w:tr>
      <w:tr>
        <w:tblPrEx>
          <w:tblLayout w:type="fixed"/>
          <w:tblCellMar>
            <w:top w:w="0" w:type="dxa"/>
            <w:left w:w="108" w:type="dxa"/>
            <w:bottom w:w="0" w:type="dxa"/>
            <w:right w:w="108" w:type="dxa"/>
          </w:tblCellMar>
        </w:tblPrEx>
        <w:trPr>
          <w:trHeight w:val="557" w:hRule="atLeast"/>
          <w:jc w:val="center"/>
        </w:trPr>
        <w:tc>
          <w:tcPr>
            <w:tcW w:w="5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项目</w:t>
            </w:r>
            <w:r>
              <w:rPr>
                <w:rFonts w:ascii="宋体" w:hAnsi="宋体" w:cs="宋体"/>
                <w:b/>
                <w:bCs/>
                <w:color w:val="000000"/>
                <w:kern w:val="0"/>
                <w:sz w:val="18"/>
                <w:szCs w:val="18"/>
              </w:rPr>
              <w:t>进度计划</w:t>
            </w:r>
          </w:p>
        </w:tc>
        <w:tc>
          <w:tcPr>
            <w:tcW w:w="1132" w:type="dxa"/>
            <w:vMerge w:val="continue"/>
            <w:tcBorders>
              <w:left w:val="nil"/>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pStyle w:val="15"/>
              <w:widowControl/>
              <w:wordWrap w:val="0"/>
              <w:spacing w:line="240" w:lineRule="exact"/>
              <w:ind w:firstLine="0" w:firstLineChars="0"/>
              <w:jc w:val="left"/>
              <w:rPr>
                <w:rFonts w:hint="eastAsia" w:ascii="宋体" w:hAnsi="宋体" w:eastAsia="宋体" w:cs="宋体"/>
                <w:b/>
                <w:bCs/>
                <w:color w:val="0000FF"/>
                <w:kern w:val="0"/>
                <w:sz w:val="18"/>
                <w:szCs w:val="18"/>
              </w:rPr>
            </w:pPr>
            <w:bookmarkStart w:id="21" w:name="OLE_LINK75"/>
            <w:r>
              <w:rPr>
                <w:rFonts w:ascii="宋体" w:hAnsi="宋体" w:eastAsia="宋体" w:cs="宋体"/>
                <w:b/>
                <w:bCs/>
                <w:color w:val="000000"/>
                <w:kern w:val="0"/>
                <w:sz w:val="18"/>
                <w:szCs w:val="18"/>
              </w:rPr>
              <w:t>提供施工进度计划</w:t>
            </w:r>
            <w:r>
              <w:rPr>
                <w:rFonts w:hint="eastAsia" w:ascii="宋体" w:hAnsi="宋体" w:eastAsia="宋体" w:cs="宋体"/>
                <w:b/>
                <w:bCs/>
                <w:color w:val="0000FF"/>
                <w:kern w:val="0"/>
                <w:sz w:val="18"/>
                <w:szCs w:val="18"/>
              </w:rPr>
              <w:t>【计划内容</w:t>
            </w:r>
            <w:r>
              <w:rPr>
                <w:rFonts w:ascii="宋体" w:hAnsi="宋体" w:eastAsia="宋体" w:cs="宋体"/>
                <w:b/>
                <w:bCs/>
                <w:color w:val="0000FF"/>
                <w:kern w:val="0"/>
                <w:sz w:val="18"/>
                <w:szCs w:val="18"/>
              </w:rPr>
              <w:t>至少包括：①总进度计划；②施工进度表（可采用横道图或关键线路网络图表示）；③各阶段</w:t>
            </w:r>
            <w:r>
              <w:rPr>
                <w:rFonts w:hint="eastAsia" w:ascii="宋体" w:hAnsi="宋体" w:eastAsia="宋体" w:cs="宋体"/>
                <w:b/>
                <w:bCs/>
                <w:color w:val="0000FF"/>
                <w:kern w:val="0"/>
                <w:sz w:val="18"/>
                <w:szCs w:val="18"/>
              </w:rPr>
              <w:t>/分部分项</w:t>
            </w:r>
            <w:r>
              <w:rPr>
                <w:rFonts w:ascii="宋体" w:hAnsi="宋体" w:eastAsia="宋体" w:cs="宋体"/>
                <w:b/>
                <w:bCs/>
                <w:color w:val="0000FF"/>
                <w:kern w:val="0"/>
                <w:sz w:val="18"/>
                <w:szCs w:val="18"/>
              </w:rPr>
              <w:t>完成</w:t>
            </w:r>
            <w:r>
              <w:rPr>
                <w:rFonts w:hint="eastAsia" w:ascii="宋体" w:hAnsi="宋体" w:eastAsia="宋体" w:cs="宋体"/>
                <w:b/>
                <w:bCs/>
                <w:color w:val="0000FF"/>
                <w:kern w:val="0"/>
                <w:sz w:val="18"/>
                <w:szCs w:val="18"/>
              </w:rPr>
              <w:t>计划】</w:t>
            </w:r>
            <w:bookmarkEnd w:id="21"/>
          </w:p>
        </w:tc>
      </w:tr>
      <w:tr>
        <w:tblPrEx>
          <w:tblLayout w:type="fixed"/>
          <w:tblCellMar>
            <w:top w:w="0" w:type="dxa"/>
            <w:left w:w="108" w:type="dxa"/>
            <w:bottom w:w="0" w:type="dxa"/>
            <w:right w:w="108" w:type="dxa"/>
          </w:tblCellMar>
        </w:tblPrEx>
        <w:trPr>
          <w:trHeight w:val="707" w:hRule="atLeast"/>
          <w:jc w:val="center"/>
        </w:trPr>
        <w:tc>
          <w:tcPr>
            <w:tcW w:w="56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113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b/>
                <w:bCs/>
                <w:color w:val="000000"/>
                <w:kern w:val="0"/>
                <w:sz w:val="18"/>
                <w:szCs w:val="18"/>
              </w:rPr>
            </w:pPr>
          </w:p>
        </w:tc>
        <w:tc>
          <w:tcPr>
            <w:tcW w:w="2270" w:type="dxa"/>
            <w:tcBorders>
              <w:top w:val="nil"/>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质量</w:t>
            </w:r>
            <w:r>
              <w:rPr>
                <w:rFonts w:ascii="宋体" w:hAnsi="宋体" w:cs="宋体"/>
                <w:b/>
                <w:bCs/>
                <w:color w:val="000000"/>
                <w:kern w:val="0"/>
                <w:sz w:val="18"/>
                <w:szCs w:val="18"/>
              </w:rPr>
              <w:t>安全</w:t>
            </w:r>
            <w:r>
              <w:rPr>
                <w:rFonts w:hint="eastAsia" w:ascii="宋体" w:hAnsi="宋体" w:cs="宋体"/>
                <w:b/>
                <w:bCs/>
                <w:color w:val="000000"/>
                <w:kern w:val="0"/>
                <w:sz w:val="18"/>
                <w:szCs w:val="18"/>
              </w:rPr>
              <w:t>保障</w:t>
            </w:r>
            <w:r>
              <w:rPr>
                <w:rFonts w:ascii="宋体" w:hAnsi="宋体" w:cs="宋体"/>
                <w:b/>
                <w:bCs/>
                <w:color w:val="000000"/>
                <w:kern w:val="0"/>
                <w:sz w:val="18"/>
                <w:szCs w:val="18"/>
              </w:rPr>
              <w:t>措施</w:t>
            </w:r>
          </w:p>
        </w:tc>
        <w:tc>
          <w:tcPr>
            <w:tcW w:w="1132" w:type="dxa"/>
            <w:vMerge w:val="continue"/>
            <w:tcBorders>
              <w:left w:val="nil"/>
              <w:bottom w:val="single" w:color="auto" w:sz="4" w:space="0"/>
              <w:right w:val="single" w:color="auto" w:sz="4" w:space="0"/>
            </w:tcBorders>
            <w:vAlign w:val="center"/>
          </w:tcPr>
          <w:p>
            <w:pPr>
              <w:widowControl/>
              <w:wordWrap w:val="0"/>
              <w:spacing w:line="240" w:lineRule="exact"/>
              <w:jc w:val="center"/>
              <w:rPr>
                <w:rFonts w:hint="eastAsia" w:ascii="宋体" w:hAnsi="宋体" w:cs="宋体"/>
                <w:b/>
                <w:bCs/>
                <w:color w:val="000000"/>
                <w:kern w:val="0"/>
                <w:sz w:val="18"/>
                <w:szCs w:val="18"/>
              </w:rPr>
            </w:pPr>
          </w:p>
        </w:tc>
        <w:tc>
          <w:tcPr>
            <w:tcW w:w="10536" w:type="dxa"/>
            <w:tcBorders>
              <w:top w:val="nil"/>
              <w:left w:val="nil"/>
              <w:bottom w:val="single" w:color="auto" w:sz="4" w:space="0"/>
              <w:right w:val="single" w:color="auto" w:sz="4" w:space="0"/>
            </w:tcBorders>
            <w:vAlign w:val="center"/>
          </w:tcPr>
          <w:p>
            <w:pPr>
              <w:widowControl/>
              <w:wordWrap w:val="0"/>
              <w:spacing w:line="240" w:lineRule="exact"/>
              <w:jc w:val="left"/>
              <w:rPr>
                <w:rFonts w:hint="eastAsia" w:ascii="宋体" w:hAnsi="宋体" w:cs="宋体"/>
                <w:b/>
                <w:bCs/>
                <w:color w:val="0000FF"/>
                <w:kern w:val="0"/>
                <w:sz w:val="18"/>
                <w:szCs w:val="18"/>
              </w:rPr>
            </w:pPr>
            <w:bookmarkStart w:id="22" w:name="OLE_LINK80"/>
            <w:r>
              <w:rPr>
                <w:rFonts w:hint="eastAsia" w:ascii="宋体" w:hAnsi="宋体" w:cs="宋体"/>
                <w:b/>
                <w:bCs/>
                <w:color w:val="000000"/>
                <w:kern w:val="0"/>
                <w:sz w:val="18"/>
                <w:szCs w:val="18"/>
              </w:rPr>
              <w:t>提供</w:t>
            </w:r>
            <w:r>
              <w:rPr>
                <w:rFonts w:ascii="宋体" w:hAnsi="宋体" w:cs="宋体"/>
                <w:b/>
                <w:bCs/>
                <w:color w:val="000000"/>
                <w:kern w:val="0"/>
                <w:sz w:val="18"/>
                <w:szCs w:val="18"/>
              </w:rPr>
              <w:t>质量安全保证措施方案</w:t>
            </w:r>
            <w:r>
              <w:rPr>
                <w:rFonts w:hint="eastAsia" w:ascii="宋体" w:hAnsi="宋体" w:cs="宋体"/>
                <w:b/>
                <w:bCs/>
                <w:color w:val="0000FF"/>
                <w:kern w:val="0"/>
                <w:sz w:val="18"/>
                <w:szCs w:val="18"/>
              </w:rPr>
              <w:t>【</w:t>
            </w:r>
            <w:r>
              <w:rPr>
                <w:rFonts w:ascii="宋体" w:hAnsi="宋体" w:cs="宋体"/>
                <w:b/>
                <w:bCs/>
                <w:color w:val="0000FF"/>
                <w:kern w:val="0"/>
                <w:sz w:val="18"/>
                <w:szCs w:val="18"/>
              </w:rPr>
              <w:t>方案应包含：①质量和安全目标；②工程质量保证措施；③安全管理方针、安全保证体系、安全管控措施；④安全事故预防措施、拟投入的安全设施设备等</w:t>
            </w:r>
            <w:r>
              <w:rPr>
                <w:rFonts w:hint="eastAsia" w:ascii="宋体" w:hAnsi="宋体" w:cs="宋体"/>
                <w:b/>
                <w:bCs/>
                <w:color w:val="0000FF"/>
                <w:kern w:val="0"/>
                <w:sz w:val="18"/>
                <w:szCs w:val="18"/>
              </w:rPr>
              <w:t>】</w:t>
            </w:r>
            <w:bookmarkEnd w:id="22"/>
          </w:p>
        </w:tc>
      </w:tr>
      <w:bookmarkEnd w:id="15"/>
    </w:tbl>
    <w:p>
      <w:pPr>
        <w:widowControl/>
        <w:spacing w:line="360" w:lineRule="auto"/>
        <w:jc w:val="left"/>
        <w:rPr>
          <w:rFonts w:hint="eastAsia" w:ascii="宋体" w:hAnsi="宋体"/>
          <w:b/>
          <w:bCs/>
          <w:color w:val="0000FF"/>
          <w:sz w:val="24"/>
          <w:szCs w:val="24"/>
        </w:rPr>
      </w:pPr>
    </w:p>
    <w:p>
      <w:pPr>
        <w:widowControl/>
        <w:spacing w:line="360" w:lineRule="auto"/>
        <w:jc w:val="left"/>
        <w:outlineLvl w:val="2"/>
        <w:rPr>
          <w:rFonts w:hint="eastAsia" w:ascii="宋体" w:hAnsi="宋体"/>
          <w:b/>
          <w:bCs/>
          <w:color w:val="0000FF"/>
          <w:sz w:val="24"/>
          <w:szCs w:val="24"/>
        </w:rPr>
        <w:sectPr>
          <w:pgSz w:w="16838" w:h="11906" w:orient="landscape"/>
          <w:pgMar w:top="1134" w:right="1134" w:bottom="851" w:left="1134" w:header="851" w:footer="992" w:gutter="0"/>
          <w:cols w:space="425" w:num="1"/>
          <w:docGrid w:type="lines" w:linePitch="312" w:charSpace="0"/>
        </w:sectPr>
      </w:pPr>
    </w:p>
    <w:p>
      <w:pPr>
        <w:widowControl/>
        <w:spacing w:line="360" w:lineRule="auto"/>
        <w:jc w:val="left"/>
        <w:outlineLvl w:val="2"/>
        <w:rPr>
          <w:rFonts w:hint="eastAsia" w:ascii="宋体" w:hAnsi="宋体"/>
          <w:b/>
          <w:bCs/>
          <w:color w:val="000000" w:themeColor="text1"/>
          <w:sz w:val="24"/>
          <w:szCs w:val="24"/>
          <w14:textFill>
            <w14:solidFill>
              <w14:schemeClr w14:val="tx1"/>
            </w14:solidFill>
          </w14:textFill>
        </w:rPr>
      </w:pPr>
      <w:bookmarkStart w:id="23" w:name="OLE_LINK11"/>
      <w:r>
        <w:rPr>
          <w:rFonts w:hint="eastAsia" w:ascii="宋体" w:hAnsi="宋体"/>
          <w:b/>
          <w:bCs/>
          <w:color w:val="000000" w:themeColor="text1"/>
          <w:sz w:val="24"/>
          <w:szCs w:val="24"/>
          <w14:textFill>
            <w14:solidFill>
              <w14:schemeClr w14:val="tx1"/>
            </w14:solidFill>
          </w14:textFill>
        </w:rPr>
        <w:t>表三：供应商价格C评审项目/评分标准</w:t>
      </w:r>
      <w:bookmarkEnd w:id="16"/>
      <w:bookmarkEnd w:id="23"/>
    </w:p>
    <w:p>
      <w:pPr>
        <w:widowControl/>
        <w:spacing w:line="360" w:lineRule="auto"/>
        <w:jc w:val="left"/>
        <w:rPr>
          <w:rFonts w:hint="eastAsia" w:ascii="宋体" w:hAnsi="宋体"/>
          <w:b/>
          <w:bCs/>
          <w:color w:val="FF0000"/>
          <w:sz w:val="24"/>
          <w:szCs w:val="24"/>
        </w:rPr>
      </w:pPr>
    </w:p>
    <w:tbl>
      <w:tblPr>
        <w:tblStyle w:val="14"/>
        <w:tblW w:w="15647" w:type="dxa"/>
        <w:jc w:val="center"/>
        <w:tblInd w:w="250" w:type="dxa"/>
        <w:tblLayout w:type="fixed"/>
        <w:tblCellMar>
          <w:top w:w="0" w:type="dxa"/>
          <w:left w:w="108" w:type="dxa"/>
          <w:bottom w:w="0" w:type="dxa"/>
          <w:right w:w="108" w:type="dxa"/>
        </w:tblCellMar>
      </w:tblPr>
      <w:tblGrid>
        <w:gridCol w:w="539"/>
        <w:gridCol w:w="1134"/>
        <w:gridCol w:w="2268"/>
        <w:gridCol w:w="1134"/>
        <w:gridCol w:w="5835"/>
        <w:gridCol w:w="4737"/>
      </w:tblGrid>
      <w:tr>
        <w:tblPrEx>
          <w:tblLayout w:type="fixed"/>
        </w:tblPrEx>
        <w:trPr>
          <w:trHeight w:val="451" w:hRule="atLeast"/>
          <w:jc w:val="center"/>
        </w:trPr>
        <w:tc>
          <w:tcPr>
            <w:tcW w:w="539"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ascii="宋体" w:hAnsi="宋体" w:cs="宋体"/>
                <w:b/>
                <w:bCs/>
                <w:color w:val="000000"/>
                <w:kern w:val="0"/>
                <w:sz w:val="18"/>
                <w:szCs w:val="18"/>
              </w:rPr>
            </w:pPr>
            <w:bookmarkStart w:id="24" w:name="OLE_LINK92"/>
            <w:r>
              <w:rPr>
                <w:rFonts w:hint="eastAsia" w:ascii="宋体" w:hAnsi="宋体" w:cs="宋体"/>
                <w:b/>
                <w:bCs/>
                <w:color w:val="000000"/>
                <w:kern w:val="0"/>
                <w:sz w:val="18"/>
                <w:szCs w:val="18"/>
              </w:rPr>
              <w:t>序</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评审方向</w:t>
            </w:r>
          </w:p>
        </w:tc>
        <w:tc>
          <w:tcPr>
            <w:tcW w:w="2268"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评审内容</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wordWrap w:val="0"/>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分值占比</w:t>
            </w:r>
          </w:p>
        </w:tc>
        <w:tc>
          <w:tcPr>
            <w:tcW w:w="5835" w:type="dxa"/>
            <w:tcBorders>
              <w:top w:val="single" w:color="auto" w:sz="4" w:space="0"/>
              <w:left w:val="nil"/>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评审标准</w:t>
            </w:r>
          </w:p>
        </w:tc>
        <w:tc>
          <w:tcPr>
            <w:tcW w:w="4737" w:type="dxa"/>
            <w:tcBorders>
              <w:top w:val="single" w:color="auto" w:sz="4" w:space="0"/>
              <w:left w:val="single" w:color="auto" w:sz="4" w:space="0"/>
              <w:bottom w:val="single" w:color="auto" w:sz="4" w:space="0"/>
              <w:right w:val="single" w:color="auto" w:sz="4" w:space="0"/>
            </w:tcBorders>
            <w:shd w:val="clear" w:color="auto" w:fill="D9D9D9"/>
            <w:vAlign w:val="center"/>
          </w:tcPr>
          <w:p>
            <w:pPr>
              <w:widowControl/>
              <w:spacing w:line="20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说明</w:t>
            </w:r>
            <w:r>
              <w:rPr>
                <w:rFonts w:hint="eastAsia" w:ascii="宋体" w:hAnsi="宋体" w:cs="宋体"/>
                <w:b/>
                <w:bCs/>
                <w:color w:val="FF0000"/>
                <w:kern w:val="0"/>
                <w:sz w:val="18"/>
                <w:szCs w:val="18"/>
              </w:rPr>
              <w:t>（面向供应商）</w:t>
            </w:r>
          </w:p>
        </w:tc>
      </w:tr>
      <w:tr>
        <w:tblPrEx>
          <w:tblLayout w:type="fixed"/>
        </w:tblPrEx>
        <w:trPr>
          <w:trHeight w:val="19"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25" w:name="_Hlk216870764"/>
            <w:r>
              <w:rPr>
                <w:rFonts w:ascii="宋体" w:hAnsi="宋体" w:cs="宋体"/>
                <w:b/>
                <w:bCs/>
                <w:color w:val="000000"/>
                <w:kern w:val="0"/>
                <w:sz w:val="18"/>
                <w:szCs w:val="18"/>
              </w:rPr>
              <w:t>3</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r>
              <w:rPr>
                <w:rFonts w:hint="eastAsia" w:ascii="宋体" w:hAnsi="宋体" w:cs="宋体"/>
                <w:b/>
                <w:bCs/>
                <w:color w:val="000000"/>
                <w:kern w:val="0"/>
                <w:sz w:val="18"/>
                <w:szCs w:val="18"/>
              </w:rPr>
              <w:t>价格C</w:t>
            </w:r>
          </w:p>
        </w:tc>
        <w:tc>
          <w:tcPr>
            <w:tcW w:w="226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b/>
                <w:bCs/>
                <w:color w:val="000000"/>
                <w:kern w:val="0"/>
                <w:sz w:val="18"/>
                <w:szCs w:val="18"/>
              </w:rPr>
            </w:pPr>
            <w:bookmarkStart w:id="26" w:name="OLE_LINK85"/>
            <w:r>
              <w:rPr>
                <w:rFonts w:hint="eastAsia" w:ascii="宋体" w:hAnsi="宋体" w:cs="宋体"/>
                <w:b/>
                <w:bCs/>
                <w:color w:val="000000"/>
                <w:kern w:val="0"/>
                <w:sz w:val="18"/>
                <w:szCs w:val="18"/>
              </w:rPr>
              <w:t>项目总价及工程量清单价格</w:t>
            </w:r>
            <w:bookmarkEnd w:id="26"/>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hint="eastAsia" w:ascii="宋体" w:hAnsi="宋体" w:cs="宋体"/>
                <w:color w:val="0000FF"/>
                <w:kern w:val="0"/>
                <w:sz w:val="18"/>
                <w:szCs w:val="18"/>
              </w:rPr>
            </w:pPr>
            <w:r>
              <w:rPr>
                <w:rFonts w:hint="eastAsia" w:ascii="宋体" w:hAnsi="宋体" w:cs="宋体"/>
                <w:b/>
                <w:bCs/>
                <w:color w:val="0000FF"/>
                <w:kern w:val="0"/>
                <w:sz w:val="18"/>
                <w:szCs w:val="18"/>
              </w:rPr>
              <w:t>60分</w:t>
            </w:r>
          </w:p>
        </w:tc>
        <w:tc>
          <w:tcPr>
            <w:tcW w:w="5835" w:type="dxa"/>
            <w:tcBorders>
              <w:top w:val="single" w:color="auto" w:sz="4" w:space="0"/>
              <w:left w:val="nil"/>
              <w:bottom w:val="single" w:color="auto" w:sz="4" w:space="0"/>
              <w:right w:val="single" w:color="auto" w:sz="4" w:space="0"/>
            </w:tcBorders>
            <w:vAlign w:val="center"/>
          </w:tcPr>
          <w:p>
            <w:pPr>
              <w:widowControl/>
              <w:wordWrap w:val="0"/>
              <w:spacing w:line="240" w:lineRule="exact"/>
              <w:jc w:val="left"/>
              <w:rPr>
                <w:rFonts w:hint="eastAsia" w:ascii="宋体" w:hAnsi="宋体" w:cs="宋体"/>
                <w:b/>
                <w:bCs/>
                <w:color w:val="0000FF"/>
                <w:kern w:val="0"/>
                <w:sz w:val="18"/>
                <w:szCs w:val="18"/>
              </w:rPr>
            </w:pPr>
            <w:r>
              <w:rPr>
                <w:rFonts w:hint="eastAsia" w:ascii="宋体" w:hAnsi="宋体" w:cs="宋体"/>
                <w:b/>
                <w:bCs/>
                <w:color w:val="0000FF"/>
                <w:kern w:val="0"/>
                <w:sz w:val="18"/>
                <w:szCs w:val="18"/>
              </w:rPr>
              <w:t>平均价格法</w:t>
            </w:r>
          </w:p>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1、评标基准价：取所有合格投标人的有效报价的算术平均值*</w:t>
            </w:r>
            <w:r>
              <w:rPr>
                <w:rFonts w:ascii="宋体" w:hAnsi="宋体" w:cs="宋体"/>
                <w:b/>
                <w:bCs/>
                <w:color w:val="000000"/>
                <w:kern w:val="0"/>
                <w:sz w:val="18"/>
                <w:szCs w:val="18"/>
              </w:rPr>
              <w:t>0.95</w:t>
            </w:r>
            <w:r>
              <w:rPr>
                <w:rFonts w:hint="eastAsia" w:ascii="宋体" w:hAnsi="宋体" w:cs="宋体"/>
                <w:b/>
                <w:bCs/>
                <w:color w:val="000000"/>
                <w:kern w:val="0"/>
                <w:sz w:val="18"/>
                <w:szCs w:val="18"/>
              </w:rPr>
              <w:t>作为评标基准价</w:t>
            </w:r>
          </w:p>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2、偏差率=100%×｜评审价-评标基准价｜/评标基准价</w:t>
            </w:r>
          </w:p>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3、偏差系数：</w:t>
            </w:r>
          </w:p>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①如果投标人的评审价＞评标基准价，偏差系数为</w:t>
            </w:r>
            <w:r>
              <w:rPr>
                <w:rFonts w:hint="eastAsia" w:ascii="宋体" w:hAnsi="宋体" w:cs="宋体"/>
                <w:b/>
                <w:bCs/>
                <w:color w:val="0000FF"/>
                <w:kern w:val="0"/>
                <w:sz w:val="18"/>
                <w:szCs w:val="18"/>
              </w:rPr>
              <w:t>1.5</w:t>
            </w:r>
          </w:p>
          <w:p>
            <w:pPr>
              <w:widowControl/>
              <w:wordWrap w:val="0"/>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②如果投标人的评审价≤评标基准价，偏差系数为</w:t>
            </w:r>
            <w:r>
              <w:rPr>
                <w:rFonts w:hint="eastAsia" w:ascii="宋体" w:hAnsi="宋体" w:cs="宋体"/>
                <w:b/>
                <w:bCs/>
                <w:color w:val="0000FF"/>
                <w:kern w:val="0"/>
                <w:sz w:val="18"/>
                <w:szCs w:val="18"/>
              </w:rPr>
              <w:t>1</w:t>
            </w:r>
          </w:p>
          <w:p>
            <w:pPr>
              <w:widowControl/>
              <w:wordWrap w:val="0"/>
              <w:spacing w:line="240" w:lineRule="exact"/>
              <w:jc w:val="left"/>
              <w:rPr>
                <w:rFonts w:hint="eastAsia" w:ascii="宋体" w:hAnsi="宋体" w:cs="宋体"/>
                <w:b/>
                <w:bCs/>
                <w:color w:val="0000FF"/>
                <w:kern w:val="0"/>
                <w:sz w:val="18"/>
                <w:szCs w:val="18"/>
              </w:rPr>
            </w:pPr>
            <w:r>
              <w:rPr>
                <w:rFonts w:hint="eastAsia" w:ascii="宋体" w:hAnsi="宋体" w:cs="宋体"/>
                <w:b/>
                <w:bCs/>
                <w:color w:val="000000"/>
                <w:kern w:val="0"/>
                <w:sz w:val="18"/>
                <w:szCs w:val="18"/>
              </w:rPr>
              <w:t>价格得分=价格满分-偏差率×偏差系数×价格满分</w:t>
            </w:r>
          </w:p>
        </w:tc>
        <w:tc>
          <w:tcPr>
            <w:tcW w:w="4737"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hint="eastAsia" w:ascii="宋体" w:hAnsi="宋体" w:cs="宋体"/>
                <w:b/>
                <w:bCs/>
                <w:color w:val="000000"/>
                <w:kern w:val="0"/>
                <w:sz w:val="18"/>
                <w:szCs w:val="18"/>
              </w:rPr>
            </w:pPr>
            <w:r>
              <w:rPr>
                <w:rFonts w:hint="eastAsia" w:ascii="宋体" w:hAnsi="宋体" w:cs="宋体"/>
                <w:b/>
                <w:bCs/>
                <w:color w:val="000000"/>
                <w:kern w:val="0"/>
                <w:sz w:val="18"/>
                <w:szCs w:val="18"/>
              </w:rPr>
              <w:t>投标报价一览表所涉及的项目总价（</w:t>
            </w:r>
            <w:r>
              <w:rPr>
                <w:rFonts w:hint="eastAsia" w:ascii="宋体" w:hAnsi="宋体" w:cs="宋体"/>
                <w:b/>
                <w:bCs/>
                <w:color w:val="0000FF"/>
                <w:kern w:val="0"/>
                <w:sz w:val="18"/>
                <w:szCs w:val="18"/>
              </w:rPr>
              <w:t>含税</w:t>
            </w:r>
            <w:r>
              <w:rPr>
                <w:rFonts w:hint="eastAsia" w:ascii="宋体" w:hAnsi="宋体" w:cs="宋体"/>
                <w:b/>
                <w:bCs/>
                <w:color w:val="000000"/>
                <w:kern w:val="0"/>
                <w:sz w:val="18"/>
                <w:szCs w:val="18"/>
              </w:rPr>
              <w:t>）</w:t>
            </w:r>
          </w:p>
          <w:p>
            <w:pPr>
              <w:widowControl/>
              <w:spacing w:line="240" w:lineRule="exact"/>
              <w:jc w:val="left"/>
              <w:rPr>
                <w:rFonts w:ascii="宋体" w:hAnsi="宋体" w:cs="宋体"/>
                <w:b/>
                <w:bCs/>
                <w:color w:val="000000"/>
                <w:kern w:val="0"/>
                <w:sz w:val="18"/>
                <w:szCs w:val="18"/>
              </w:rPr>
            </w:pPr>
            <w:r>
              <w:rPr>
                <w:rFonts w:hint="eastAsia" w:ascii="宋体" w:hAnsi="宋体" w:cs="宋体"/>
                <w:b/>
                <w:bCs/>
                <w:color w:val="000000"/>
                <w:kern w:val="0"/>
                <w:sz w:val="18"/>
                <w:szCs w:val="18"/>
              </w:rPr>
              <w:t>各分项报价保留小数点后2位有效数字</w:t>
            </w:r>
          </w:p>
          <w:p>
            <w:pPr>
              <w:widowControl/>
              <w:spacing w:line="240" w:lineRule="exact"/>
              <w:jc w:val="left"/>
              <w:rPr>
                <w:rFonts w:hint="eastAsia" w:ascii="宋体" w:hAnsi="宋体" w:cs="宋体"/>
                <w:b/>
                <w:bCs/>
                <w:color w:val="000000"/>
                <w:kern w:val="0"/>
                <w:sz w:val="18"/>
                <w:szCs w:val="18"/>
              </w:rPr>
            </w:pPr>
            <w:r>
              <w:rPr>
                <w:rFonts w:hint="eastAsia" w:ascii="等线" w:hAnsi="等线" w:eastAsia="等线" w:cs="宋体"/>
                <w:b/>
                <w:bCs/>
                <w:color w:val="FF0000"/>
                <w:kern w:val="0"/>
                <w:sz w:val="18"/>
                <w:szCs w:val="18"/>
              </w:rPr>
              <w:t>★</w:t>
            </w:r>
            <w:r>
              <w:rPr>
                <w:rFonts w:hint="eastAsia" w:ascii="宋体" w:hAnsi="宋体" w:cs="宋体"/>
                <w:b/>
                <w:bCs/>
                <w:color w:val="FF0000"/>
                <w:kern w:val="0"/>
                <w:sz w:val="18"/>
                <w:szCs w:val="18"/>
              </w:rPr>
              <w:t>必须提供工程量报价清单（详见《</w:t>
            </w:r>
            <w:r>
              <w:rPr>
                <w:rFonts w:ascii="宋体" w:hAnsi="宋体" w:cs="宋体"/>
                <w:b/>
                <w:bCs/>
                <w:color w:val="FF0000"/>
                <w:kern w:val="0"/>
                <w:sz w:val="18"/>
                <w:szCs w:val="18"/>
              </w:rPr>
              <w:t>附件</w:t>
            </w:r>
            <w:r>
              <w:rPr>
                <w:rFonts w:hint="eastAsia" w:ascii="宋体" w:hAnsi="宋体" w:cs="宋体"/>
                <w:b/>
                <w:bCs/>
                <w:color w:val="FF0000"/>
                <w:kern w:val="0"/>
                <w:sz w:val="18"/>
                <w:szCs w:val="18"/>
                <w:lang w:val="en-US" w:eastAsia="zh-CN"/>
              </w:rPr>
              <w:t>4</w:t>
            </w:r>
            <w:r>
              <w:rPr>
                <w:rFonts w:ascii="宋体" w:hAnsi="宋体" w:cs="宋体"/>
                <w:b/>
                <w:bCs/>
                <w:color w:val="FF0000"/>
                <w:kern w:val="0"/>
                <w:sz w:val="18"/>
                <w:szCs w:val="18"/>
              </w:rPr>
              <w:t>-</w:t>
            </w:r>
            <w:r>
              <w:rPr>
                <w:rFonts w:hint="eastAsia" w:ascii="宋体" w:hAnsi="宋体" w:cs="宋体"/>
                <w:b/>
                <w:bCs/>
                <w:color w:val="FF0000"/>
                <w:kern w:val="0"/>
                <w:sz w:val="18"/>
                <w:szCs w:val="18"/>
              </w:rPr>
              <w:t>海外焊装线聚氨酯超耐磨地坪漆改造</w:t>
            </w:r>
            <w:r>
              <w:rPr>
                <w:rFonts w:ascii="宋体" w:hAnsi="宋体" w:cs="宋体"/>
                <w:b/>
                <w:bCs/>
                <w:color w:val="FF0000"/>
                <w:kern w:val="0"/>
                <w:sz w:val="18"/>
                <w:szCs w:val="18"/>
              </w:rPr>
              <w:t>项目工程量报价清单》</w:t>
            </w:r>
            <w:r>
              <w:rPr>
                <w:rFonts w:hint="eastAsia" w:ascii="宋体" w:hAnsi="宋体" w:cs="宋体"/>
                <w:b/>
                <w:bCs/>
                <w:color w:val="FF0000"/>
                <w:kern w:val="0"/>
                <w:sz w:val="18"/>
                <w:szCs w:val="18"/>
              </w:rPr>
              <w:t>）</w:t>
            </w:r>
          </w:p>
          <w:bookmarkEnd w:id="25"/>
        </w:tc>
      </w:tr>
      <w:bookmarkEnd w:id="24"/>
    </w:tbl>
    <w:p>
      <w:pPr>
        <w:rPr>
          <w:rFonts w:hint="eastAsia" w:ascii="等线" w:hAnsi="等线" w:eastAsia="等线"/>
          <w:b/>
          <w:bCs/>
          <w:sz w:val="18"/>
          <w:szCs w:val="18"/>
        </w:rPr>
      </w:pPr>
    </w:p>
    <w:sectPr>
      <w:pgSz w:w="16838" w:h="11906" w:orient="landscape"/>
      <w:pgMar w:top="1134"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0320"/>
    <w:multiLevelType w:val="multilevel"/>
    <w:tmpl w:val="04950320"/>
    <w:lvl w:ilvl="0" w:tentative="0">
      <w:start w:val="1"/>
      <w:numFmt w:val="chineseCountingThousand"/>
      <w:suff w:val="space"/>
      <w:lvlText w:val="%1、"/>
      <w:lvlJc w:val="left"/>
      <w:pPr>
        <w:ind w:left="440" w:hanging="440"/>
      </w:pPr>
      <w:rPr>
        <w:rFonts w:hint="eastAsia"/>
        <w:b/>
        <w:bCs w:val="0"/>
        <w:color w:val="auto"/>
      </w:rPr>
    </w:lvl>
    <w:lvl w:ilvl="1" w:tentative="0">
      <w:start w:val="1"/>
      <w:numFmt w:val="decimal"/>
      <w:suff w:val="space"/>
      <w:lvlText w:val="%2、"/>
      <w:lvlJc w:val="left"/>
      <w:pPr>
        <w:ind w:left="360" w:hanging="360"/>
      </w:pPr>
      <w:rPr>
        <w:rFonts w:hint="default"/>
        <w:color w:val="auto"/>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0D006CB9"/>
    <w:multiLevelType w:val="multilevel"/>
    <w:tmpl w:val="0D006CB9"/>
    <w:lvl w:ilvl="0" w:tentative="0">
      <w:start w:val="1"/>
      <w:numFmt w:val="chineseCountingThousand"/>
      <w:suff w:val="space"/>
      <w:lvlText w:val="(%1)"/>
      <w:lvlJc w:val="left"/>
      <w:pPr>
        <w:ind w:left="0" w:firstLine="0"/>
      </w:pPr>
      <w:rPr>
        <w:rFonts w:hint="eastAsia"/>
        <w:color w:val="000000" w:themeColor="text1"/>
        <w14:textFill>
          <w14:solidFill>
            <w14:schemeClr w14:val="tx1"/>
          </w14:solidFill>
        </w14:textFil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2072F7D"/>
    <w:multiLevelType w:val="multilevel"/>
    <w:tmpl w:val="22072F7D"/>
    <w:lvl w:ilvl="0" w:tentative="0">
      <w:start w:val="1"/>
      <w:numFmt w:val="decimal"/>
      <w:suff w:val="space"/>
      <w:lvlText w:val="%1、"/>
      <w:lvlJc w:val="left"/>
      <w:pPr>
        <w:ind w:left="357" w:hanging="357"/>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51265CC4"/>
    <w:multiLevelType w:val="multilevel"/>
    <w:tmpl w:val="51265CC4"/>
    <w:lvl w:ilvl="0" w:tentative="0">
      <w:start w:val="1"/>
      <w:numFmt w:val="decimal"/>
      <w:suff w:val="space"/>
      <w:lvlText w:val="%1、"/>
      <w:lvlJc w:val="left"/>
      <w:pPr>
        <w:ind w:left="360" w:hanging="360"/>
      </w:pPr>
      <w:rPr>
        <w:rFonts w:hint="default"/>
      </w:rPr>
    </w:lvl>
    <w:lvl w:ilvl="1" w:tentative="0">
      <w:start w:val="1"/>
      <w:numFmt w:val="decimal"/>
      <w:suff w:val="space"/>
      <w:lvlText w:val="%2、"/>
      <w:lvlJc w:val="left"/>
      <w:pPr>
        <w:ind w:left="357" w:hanging="357"/>
      </w:pPr>
      <w:rPr>
        <w:rFonts w:hint="default"/>
      </w:rPr>
    </w:lvl>
    <w:lvl w:ilvl="2" w:tentative="0">
      <w:start w:val="1"/>
      <w:numFmt w:val="decimal"/>
      <w:lvlText w:val="%3"/>
      <w:lvlJc w:val="left"/>
      <w:pPr>
        <w:ind w:left="0" w:firstLine="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D64"/>
    <w:rsid w:val="00052384"/>
    <w:rsid w:val="00055004"/>
    <w:rsid w:val="0005690C"/>
    <w:rsid w:val="0006225D"/>
    <w:rsid w:val="00086BF8"/>
    <w:rsid w:val="0009445B"/>
    <w:rsid w:val="000A2ABB"/>
    <w:rsid w:val="000B0B65"/>
    <w:rsid w:val="000B2A32"/>
    <w:rsid w:val="000C3DB0"/>
    <w:rsid w:val="000D3FB3"/>
    <w:rsid w:val="000E090D"/>
    <w:rsid w:val="000E6041"/>
    <w:rsid w:val="000F4A51"/>
    <w:rsid w:val="000F5427"/>
    <w:rsid w:val="00105477"/>
    <w:rsid w:val="001132DF"/>
    <w:rsid w:val="00142E42"/>
    <w:rsid w:val="00143264"/>
    <w:rsid w:val="0014563B"/>
    <w:rsid w:val="00161C70"/>
    <w:rsid w:val="00172A27"/>
    <w:rsid w:val="00196C64"/>
    <w:rsid w:val="001C34FE"/>
    <w:rsid w:val="001D336D"/>
    <w:rsid w:val="001D6087"/>
    <w:rsid w:val="001E00C0"/>
    <w:rsid w:val="00200525"/>
    <w:rsid w:val="002134F3"/>
    <w:rsid w:val="00214B8E"/>
    <w:rsid w:val="00223A26"/>
    <w:rsid w:val="00223B7B"/>
    <w:rsid w:val="00230B74"/>
    <w:rsid w:val="002442EE"/>
    <w:rsid w:val="00275DE6"/>
    <w:rsid w:val="002C4FA0"/>
    <w:rsid w:val="002E74D2"/>
    <w:rsid w:val="002F4E44"/>
    <w:rsid w:val="003148B5"/>
    <w:rsid w:val="00321756"/>
    <w:rsid w:val="003536BD"/>
    <w:rsid w:val="00365639"/>
    <w:rsid w:val="00382ADE"/>
    <w:rsid w:val="003855FD"/>
    <w:rsid w:val="00385C1C"/>
    <w:rsid w:val="00393AF6"/>
    <w:rsid w:val="003E1717"/>
    <w:rsid w:val="0042263E"/>
    <w:rsid w:val="004226BD"/>
    <w:rsid w:val="004369AD"/>
    <w:rsid w:val="004622C9"/>
    <w:rsid w:val="004647BB"/>
    <w:rsid w:val="00464AFF"/>
    <w:rsid w:val="004A5A99"/>
    <w:rsid w:val="004D34D3"/>
    <w:rsid w:val="0051567C"/>
    <w:rsid w:val="00517577"/>
    <w:rsid w:val="00520ABA"/>
    <w:rsid w:val="005529F3"/>
    <w:rsid w:val="00560705"/>
    <w:rsid w:val="00577294"/>
    <w:rsid w:val="005A3146"/>
    <w:rsid w:val="005A590D"/>
    <w:rsid w:val="005C3CA5"/>
    <w:rsid w:val="005C6EAE"/>
    <w:rsid w:val="005E5FA8"/>
    <w:rsid w:val="005F54F8"/>
    <w:rsid w:val="00617A00"/>
    <w:rsid w:val="00627020"/>
    <w:rsid w:val="00635479"/>
    <w:rsid w:val="00654F9A"/>
    <w:rsid w:val="00654FEB"/>
    <w:rsid w:val="00661D39"/>
    <w:rsid w:val="006943B1"/>
    <w:rsid w:val="006958A2"/>
    <w:rsid w:val="006A250F"/>
    <w:rsid w:val="006B6A7B"/>
    <w:rsid w:val="006F7293"/>
    <w:rsid w:val="00703983"/>
    <w:rsid w:val="00723765"/>
    <w:rsid w:val="007242A9"/>
    <w:rsid w:val="00724CE0"/>
    <w:rsid w:val="007344EA"/>
    <w:rsid w:val="00746192"/>
    <w:rsid w:val="00770154"/>
    <w:rsid w:val="00773E90"/>
    <w:rsid w:val="007A1BA8"/>
    <w:rsid w:val="007A2321"/>
    <w:rsid w:val="007A32BB"/>
    <w:rsid w:val="007A7EBB"/>
    <w:rsid w:val="007B5EAE"/>
    <w:rsid w:val="007E72ED"/>
    <w:rsid w:val="007F7DC7"/>
    <w:rsid w:val="00837E10"/>
    <w:rsid w:val="008450B7"/>
    <w:rsid w:val="00852DB8"/>
    <w:rsid w:val="00862DA9"/>
    <w:rsid w:val="00871A69"/>
    <w:rsid w:val="00892C81"/>
    <w:rsid w:val="009051D8"/>
    <w:rsid w:val="00935728"/>
    <w:rsid w:val="00956A02"/>
    <w:rsid w:val="0098516E"/>
    <w:rsid w:val="00985317"/>
    <w:rsid w:val="009A5EB9"/>
    <w:rsid w:val="009B0972"/>
    <w:rsid w:val="009B742A"/>
    <w:rsid w:val="009C48CE"/>
    <w:rsid w:val="009F1404"/>
    <w:rsid w:val="00A23D2B"/>
    <w:rsid w:val="00A352E4"/>
    <w:rsid w:val="00A646A2"/>
    <w:rsid w:val="00A67251"/>
    <w:rsid w:val="00A953E3"/>
    <w:rsid w:val="00AB2F20"/>
    <w:rsid w:val="00AB56D8"/>
    <w:rsid w:val="00AD7822"/>
    <w:rsid w:val="00B06412"/>
    <w:rsid w:val="00B540EA"/>
    <w:rsid w:val="00B55276"/>
    <w:rsid w:val="00B737BA"/>
    <w:rsid w:val="00BA3827"/>
    <w:rsid w:val="00BB16E0"/>
    <w:rsid w:val="00BB45F0"/>
    <w:rsid w:val="00BE1AA5"/>
    <w:rsid w:val="00BF6E8D"/>
    <w:rsid w:val="00C17EF4"/>
    <w:rsid w:val="00C22353"/>
    <w:rsid w:val="00C26D29"/>
    <w:rsid w:val="00C3109C"/>
    <w:rsid w:val="00C31999"/>
    <w:rsid w:val="00C3537D"/>
    <w:rsid w:val="00C4193C"/>
    <w:rsid w:val="00C41956"/>
    <w:rsid w:val="00C57249"/>
    <w:rsid w:val="00CA2B21"/>
    <w:rsid w:val="00CB25DB"/>
    <w:rsid w:val="00CB5CB7"/>
    <w:rsid w:val="00CC409F"/>
    <w:rsid w:val="00CF7EB6"/>
    <w:rsid w:val="00D02256"/>
    <w:rsid w:val="00D1191E"/>
    <w:rsid w:val="00D34B45"/>
    <w:rsid w:val="00D3603E"/>
    <w:rsid w:val="00D36837"/>
    <w:rsid w:val="00D43C43"/>
    <w:rsid w:val="00D44D39"/>
    <w:rsid w:val="00D52215"/>
    <w:rsid w:val="00D54667"/>
    <w:rsid w:val="00D55399"/>
    <w:rsid w:val="00D60116"/>
    <w:rsid w:val="00D973F5"/>
    <w:rsid w:val="00DB2073"/>
    <w:rsid w:val="00DE75AF"/>
    <w:rsid w:val="00E425AA"/>
    <w:rsid w:val="00E44D16"/>
    <w:rsid w:val="00E91FEB"/>
    <w:rsid w:val="00EA09AD"/>
    <w:rsid w:val="00EA4FE3"/>
    <w:rsid w:val="00EB1A34"/>
    <w:rsid w:val="00EE06F4"/>
    <w:rsid w:val="00EE3E81"/>
    <w:rsid w:val="00F0184F"/>
    <w:rsid w:val="00F01F45"/>
    <w:rsid w:val="00F26B3B"/>
    <w:rsid w:val="00F30C33"/>
    <w:rsid w:val="00F467AD"/>
    <w:rsid w:val="00F66A1B"/>
    <w:rsid w:val="00F8763E"/>
    <w:rsid w:val="00F9656E"/>
    <w:rsid w:val="00FA6120"/>
    <w:rsid w:val="00FB031B"/>
    <w:rsid w:val="00FB1B5D"/>
    <w:rsid w:val="00FB1D21"/>
    <w:rsid w:val="00FB60F2"/>
    <w:rsid w:val="00FC0368"/>
    <w:rsid w:val="022551BE"/>
    <w:rsid w:val="02BF0A2C"/>
    <w:rsid w:val="10137954"/>
    <w:rsid w:val="18190589"/>
    <w:rsid w:val="28D64C70"/>
    <w:rsid w:val="2A9A6A3F"/>
    <w:rsid w:val="2C9C69E0"/>
    <w:rsid w:val="2CE360C1"/>
    <w:rsid w:val="308560FA"/>
    <w:rsid w:val="40394773"/>
    <w:rsid w:val="461F0D5D"/>
    <w:rsid w:val="464A4625"/>
    <w:rsid w:val="482960B1"/>
    <w:rsid w:val="5B606120"/>
    <w:rsid w:val="643C6F6D"/>
    <w:rsid w:val="65303FB8"/>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qFormat/>
    <w:uiPriority w:val="99"/>
    <w:pPr>
      <w:keepNext/>
      <w:keepLines/>
      <w:spacing w:before="260" w:after="260"/>
      <w:jc w:val="center"/>
      <w:outlineLvl w:val="2"/>
    </w:pPr>
    <w:rPr>
      <w:rFonts w:ascii="Times New Roman" w:hAnsi="Times New Roman"/>
      <w:b/>
      <w:sz w:val="32"/>
    </w:rPr>
  </w:style>
  <w:style w:type="character" w:default="1" w:styleId="11">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next w:val="3"/>
    <w:qFormat/>
    <w:uiPriority w:val="0"/>
    <w:pPr>
      <w:adjustRightInd w:val="0"/>
      <w:ind w:firstLine="420"/>
      <w:jc w:val="left"/>
      <w:textAlignment w:val="baseline"/>
    </w:pPr>
    <w:rPr>
      <w:rFonts w:eastAsia="楷体_GB2312"/>
      <w:sz w:val="24"/>
    </w:rPr>
  </w:style>
  <w:style w:type="paragraph" w:styleId="3">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5">
    <w:name w:val="annotation subject"/>
    <w:basedOn w:val="6"/>
    <w:next w:val="6"/>
    <w:link w:val="23"/>
    <w:uiPriority w:val="0"/>
    <w:rPr>
      <w:b/>
      <w:bCs/>
    </w:rPr>
  </w:style>
  <w:style w:type="paragraph" w:styleId="6">
    <w:name w:val="annotation text"/>
    <w:basedOn w:val="1"/>
    <w:link w:val="22"/>
    <w:qFormat/>
    <w:uiPriority w:val="0"/>
    <w:pPr>
      <w:jc w:val="left"/>
    </w:pPr>
  </w:style>
  <w:style w:type="paragraph" w:styleId="7">
    <w:name w:val="Body Text"/>
    <w:basedOn w:val="1"/>
    <w:unhideWhenUsed/>
    <w:qFormat/>
    <w:uiPriority w:val="99"/>
    <w:pPr>
      <w:spacing w:line="380" w:lineRule="exact"/>
    </w:pPr>
    <w:rPr>
      <w:rFonts w:ascii="Times New Roman" w:hAnsi="Times New Roman"/>
      <w:sz w:val="24"/>
    </w:rPr>
  </w:style>
  <w:style w:type="paragraph" w:styleId="8">
    <w:name w:val="Balloon Text"/>
    <w:basedOn w:val="1"/>
    <w:link w:val="27"/>
    <w:qFormat/>
    <w:uiPriority w:val="0"/>
    <w:rPr>
      <w:sz w:val="18"/>
      <w:szCs w:val="18"/>
    </w:rPr>
  </w:style>
  <w:style w:type="paragraph" w:styleId="9">
    <w:name w:val="footer"/>
    <w:basedOn w:val="1"/>
    <w:link w:val="25"/>
    <w:qFormat/>
    <w:uiPriority w:val="0"/>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character" w:styleId="12">
    <w:name w:val="Hyperlink"/>
    <w:basedOn w:val="11"/>
    <w:qFormat/>
    <w:uiPriority w:val="0"/>
    <w:rPr>
      <w:color w:val="0563C1" w:themeColor="hyperlink"/>
      <w:u w:val="single"/>
      <w14:textFill>
        <w14:solidFill>
          <w14:schemeClr w14:val="hlink"/>
        </w14:solidFill>
      </w14:textFill>
    </w:rPr>
  </w:style>
  <w:style w:type="character" w:styleId="13">
    <w:name w:val="annotation reference"/>
    <w:basedOn w:val="11"/>
    <w:qFormat/>
    <w:uiPriority w:val="0"/>
    <w:rPr>
      <w:sz w:val="21"/>
      <w:szCs w:val="21"/>
    </w:rPr>
  </w:style>
  <w:style w:type="paragraph" w:styleId="15">
    <w:name w:val="List Paragraph"/>
    <w:basedOn w:val="1"/>
    <w:qFormat/>
    <w:uiPriority w:val="34"/>
    <w:pPr>
      <w:ind w:firstLine="420" w:firstLineChars="200"/>
    </w:pPr>
    <w:rPr>
      <w:rFonts w:ascii="Times New Roman" w:hAnsi="Times New Roman"/>
      <w:sz w:val="24"/>
      <w:szCs w:val="24"/>
    </w:rPr>
  </w:style>
  <w:style w:type="character" w:customStyle="1" w:styleId="16">
    <w:name w:val="font71"/>
    <w:basedOn w:val="11"/>
    <w:qFormat/>
    <w:uiPriority w:val="0"/>
    <w:rPr>
      <w:rFonts w:hint="eastAsia" w:ascii="宋体" w:hAnsi="宋体" w:eastAsia="宋体" w:cs="宋体"/>
      <w:color w:val="000000"/>
      <w:sz w:val="20"/>
      <w:szCs w:val="20"/>
      <w:u w:val="none"/>
    </w:rPr>
  </w:style>
  <w:style w:type="character" w:customStyle="1" w:styleId="17">
    <w:name w:val="font101"/>
    <w:basedOn w:val="11"/>
    <w:qFormat/>
    <w:uiPriority w:val="0"/>
    <w:rPr>
      <w:rFonts w:hint="eastAsia" w:ascii="宋体" w:hAnsi="宋体" w:eastAsia="宋体" w:cs="宋体"/>
      <w:color w:val="auto"/>
      <w:sz w:val="20"/>
      <w:szCs w:val="20"/>
      <w:u w:val="none"/>
    </w:rPr>
  </w:style>
  <w:style w:type="character" w:customStyle="1" w:styleId="18">
    <w:name w:val="font61"/>
    <w:basedOn w:val="11"/>
    <w:qFormat/>
    <w:uiPriority w:val="0"/>
    <w:rPr>
      <w:rFonts w:hint="eastAsia" w:ascii="宋体" w:hAnsi="宋体" w:eastAsia="宋体" w:cs="宋体"/>
      <w:color w:val="000000"/>
      <w:sz w:val="20"/>
      <w:szCs w:val="20"/>
      <w:u w:val="none"/>
    </w:rPr>
  </w:style>
  <w:style w:type="character" w:customStyle="1" w:styleId="19">
    <w:name w:val="font81"/>
    <w:basedOn w:val="11"/>
    <w:qFormat/>
    <w:uiPriority w:val="0"/>
    <w:rPr>
      <w:rFonts w:hint="eastAsia" w:ascii="宋体" w:hAnsi="宋体" w:eastAsia="宋体" w:cs="宋体"/>
      <w:b/>
      <w:color w:val="1F497D"/>
      <w:sz w:val="20"/>
      <w:szCs w:val="20"/>
      <w:u w:val="none"/>
    </w:rPr>
  </w:style>
  <w:style w:type="character" w:customStyle="1" w:styleId="20">
    <w:name w:val="font91"/>
    <w:basedOn w:val="11"/>
    <w:qFormat/>
    <w:uiPriority w:val="0"/>
    <w:rPr>
      <w:rFonts w:hint="eastAsia" w:ascii="宋体" w:hAnsi="宋体" w:eastAsia="宋体" w:cs="宋体"/>
      <w:b/>
      <w:color w:val="FF0000"/>
      <w:sz w:val="20"/>
      <w:szCs w:val="20"/>
      <w:u w:val="none"/>
    </w:rPr>
  </w:style>
  <w:style w:type="character" w:customStyle="1" w:styleId="21">
    <w:name w:val="font51"/>
    <w:basedOn w:val="11"/>
    <w:qFormat/>
    <w:uiPriority w:val="0"/>
    <w:rPr>
      <w:rFonts w:hint="eastAsia" w:ascii="宋体" w:hAnsi="宋体" w:eastAsia="宋体" w:cs="宋体"/>
      <w:color w:val="000000"/>
      <w:sz w:val="20"/>
      <w:szCs w:val="20"/>
      <w:u w:val="none"/>
    </w:rPr>
  </w:style>
  <w:style w:type="character" w:customStyle="1" w:styleId="22">
    <w:name w:val="批注文字 字符"/>
    <w:basedOn w:val="11"/>
    <w:link w:val="6"/>
    <w:qFormat/>
    <w:uiPriority w:val="0"/>
    <w:rPr>
      <w:rFonts w:ascii="Calibri" w:hAnsi="Calibri"/>
      <w:kern w:val="2"/>
      <w:sz w:val="21"/>
      <w:szCs w:val="22"/>
    </w:rPr>
  </w:style>
  <w:style w:type="character" w:customStyle="1" w:styleId="23">
    <w:name w:val="批注主题 字符"/>
    <w:basedOn w:val="22"/>
    <w:link w:val="5"/>
    <w:qFormat/>
    <w:uiPriority w:val="0"/>
    <w:rPr>
      <w:rFonts w:ascii="Calibri" w:hAnsi="Calibri"/>
      <w:b/>
      <w:bCs/>
      <w:kern w:val="2"/>
      <w:sz w:val="21"/>
      <w:szCs w:val="22"/>
    </w:rPr>
  </w:style>
  <w:style w:type="character" w:customStyle="1" w:styleId="24">
    <w:name w:val="页眉 字符"/>
    <w:basedOn w:val="11"/>
    <w:link w:val="3"/>
    <w:qFormat/>
    <w:uiPriority w:val="0"/>
    <w:rPr>
      <w:rFonts w:ascii="Calibri" w:hAnsi="Calibri"/>
      <w:kern w:val="2"/>
      <w:sz w:val="18"/>
      <w:szCs w:val="18"/>
    </w:rPr>
  </w:style>
  <w:style w:type="character" w:customStyle="1" w:styleId="25">
    <w:name w:val="页脚 字符"/>
    <w:basedOn w:val="11"/>
    <w:link w:val="9"/>
    <w:uiPriority w:val="0"/>
    <w:rPr>
      <w:rFonts w:ascii="Calibri" w:hAnsi="Calibri"/>
      <w:kern w:val="2"/>
      <w:sz w:val="18"/>
      <w:szCs w:val="18"/>
    </w:rPr>
  </w:style>
  <w:style w:type="character" w:customStyle="1" w:styleId="26">
    <w:name w:val="Unresolved Mention"/>
    <w:basedOn w:val="11"/>
    <w:semiHidden/>
    <w:unhideWhenUsed/>
    <w:qFormat/>
    <w:uiPriority w:val="99"/>
    <w:rPr>
      <w:color w:val="605E5C"/>
      <w:shd w:val="clear" w:color="auto" w:fill="E1DFDD"/>
    </w:rPr>
  </w:style>
  <w:style w:type="character" w:customStyle="1" w:styleId="27">
    <w:name w:val="批注框文本 字符"/>
    <w:basedOn w:val="11"/>
    <w:link w:val="8"/>
    <w:qFormat/>
    <w:uiPriority w:val="0"/>
    <w:rPr>
      <w:rFonts w:ascii="Calibri" w:hAnsi="Calibri"/>
      <w:kern w:val="2"/>
      <w:sz w:val="18"/>
      <w:szCs w:val="18"/>
    </w:rPr>
  </w:style>
  <w:style w:type="paragraph" w:customStyle="1" w:styleId="28">
    <w:name w:val="_Style 26"/>
    <w:basedOn w:val="1"/>
    <w:next w:val="15"/>
    <w:qFormat/>
    <w:uiPriority w:val="34"/>
    <w:pPr>
      <w:ind w:firstLine="420" w:firstLineChars="200"/>
    </w:pPr>
    <w:rPr>
      <w:rFonts w:ascii="等线" w:hAnsi="等线" w:eastAsia="等线"/>
    </w:rPr>
  </w:style>
  <w:style w:type="paragraph" w:customStyle="1" w:styleId="29">
    <w:name w:val="_Style 27"/>
    <w:basedOn w:val="1"/>
    <w:next w:val="15"/>
    <w:qFormat/>
    <w:uiPriority w:val="34"/>
    <w:pPr>
      <w:ind w:firstLine="420" w:firstLineChars="200"/>
    </w:pPr>
    <w:rPr>
      <w:rFonts w:ascii="等线" w:hAnsi="等线" w:eastAsia="等线"/>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477</Words>
  <Characters>2722</Characters>
  <Lines>22</Lines>
  <Paragraphs>6</Paragraphs>
  <TotalTime>0</TotalTime>
  <ScaleCrop>false</ScaleCrop>
  <LinksUpToDate>false</LinksUpToDate>
  <CharactersWithSpaces>3193</CharactersWithSpaces>
  <Application>WPS Office_10.8.2.6784_F1E327BC-269C-435d-A152-05C5408002CA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2026-05-20T04:12:00Z</dcterms:created>
  <dc:creator>chenyaohui</dc:creator>
  <cp:lastModifiedBy>chenyaohui</cp:lastModifiedBy>
  <dcterms:modified xsi:type="dcterms:W3CDTF">2026-08-24T05:54:10Z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