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adjustRightInd w:val="0"/>
        <w:snapToGrid w:val="0"/>
        <w:spacing w:before="0" w:after="120"/>
        <w:rPr>
          <w:sz w:val="30"/>
          <w:szCs w:val="30"/>
        </w:rPr>
      </w:pPr>
      <w:bookmarkStart w:id="0" w:name="_Toc17193"/>
      <w:bookmarkStart w:id="1" w:name="_Toc21409"/>
      <w:bookmarkStart w:id="2" w:name="_Toc26315"/>
      <w:bookmarkStart w:id="3" w:name="_Toc97560485"/>
      <w:bookmarkStart w:id="4" w:name="_Toc14358"/>
      <w:bookmarkStart w:id="5" w:name="_Toc19915"/>
      <w:bookmarkStart w:id="6" w:name="_Toc20631"/>
      <w:bookmarkStart w:id="7" w:name="_Toc5934"/>
      <w:r>
        <w:rPr>
          <w:rFonts w:hint="eastAsia"/>
          <w:sz w:val="30"/>
          <w:szCs w:val="30"/>
        </w:rPr>
        <w:t>厦门市质量奖申报咨询服务招标项目</w:t>
      </w:r>
      <w:bookmarkStart w:id="8" w:name="OLE_LINK3"/>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p>
    <w:p>
      <w:pPr>
        <w:pStyle w:val="14"/>
        <w:numPr>
          <w:ilvl w:val="0"/>
          <w:numId w:val="1"/>
        </w:numPr>
        <w:spacing w:before="156" w:beforeLines="50" w:after="156" w:afterLines="50" w:line="440" w:lineRule="exact"/>
        <w:ind w:left="442" w:hanging="442" w:firstLineChars="0"/>
        <w:outlineLvl w:val="1"/>
        <w:rPr>
          <w:rFonts w:hint="eastAsia" w:ascii="宋体" w:hAnsi="宋体"/>
          <w:b/>
          <w:sz w:val="28"/>
          <w:szCs w:val="28"/>
        </w:rPr>
      </w:pPr>
      <w:r>
        <w:rPr>
          <w:rFonts w:ascii="宋体" w:hAnsi="宋体"/>
          <w:b/>
          <w:sz w:val="28"/>
          <w:szCs w:val="28"/>
          <w:lang w:val="zh-CN"/>
        </w:rPr>
        <w:t>评标方法：综合</w:t>
      </w:r>
      <w:r>
        <w:rPr>
          <w:rFonts w:hint="eastAsia" w:ascii="宋体" w:hAnsi="宋体"/>
          <w:b/>
          <w:sz w:val="28"/>
          <w:szCs w:val="28"/>
          <w:lang w:val="zh-CN"/>
        </w:rPr>
        <w:t>评审</w:t>
      </w:r>
      <w:r>
        <w:rPr>
          <w:rFonts w:ascii="宋体" w:hAnsi="宋体"/>
          <w:b/>
          <w:sz w:val="28"/>
          <w:szCs w:val="28"/>
          <w:lang w:val="zh-CN"/>
        </w:rPr>
        <w:t>法</w:t>
      </w:r>
    </w:p>
    <w:p>
      <w:pPr>
        <w:spacing w:line="360" w:lineRule="auto"/>
        <w:ind w:firstLine="480" w:firstLineChars="200"/>
        <w:rPr>
          <w:rFonts w:hint="eastAsia" w:ascii="宋体" w:hAnsi="宋体"/>
          <w:sz w:val="24"/>
          <w:lang w:val="zh-CN"/>
        </w:rPr>
      </w:pPr>
      <w:bookmarkStart w:id="9" w:name="OLE_LINK6"/>
      <w:r>
        <w:rPr>
          <w:rFonts w:ascii="宋体" w:hAnsi="宋体"/>
          <w:sz w:val="24"/>
          <w:lang w:val="zh-CN"/>
        </w:rPr>
        <w:t>对所有投标人的投标文件评审，都采用相同的程序和标准。</w:t>
      </w:r>
    </w:p>
    <w:p>
      <w:pPr>
        <w:pStyle w:val="14"/>
        <w:numPr>
          <w:ilvl w:val="0"/>
          <w:numId w:val="2"/>
        </w:numPr>
        <w:spacing w:line="360" w:lineRule="auto"/>
        <w:ind w:left="0" w:firstLine="480"/>
        <w:rPr>
          <w:rFonts w:hint="eastAsia" w:ascii="宋体" w:hAnsi="宋体"/>
        </w:rPr>
      </w:pPr>
      <w:r>
        <w:rPr>
          <w:rFonts w:hint="eastAsia" w:ascii="宋体" w:hAnsi="宋体"/>
        </w:rPr>
        <w:t>采购评标小组成员</w:t>
      </w:r>
    </w:p>
    <w:p>
      <w:pPr>
        <w:spacing w:line="360" w:lineRule="auto"/>
        <w:ind w:firstLine="480" w:firstLineChars="200"/>
        <w:rPr>
          <w:rFonts w:hint="eastAsia" w:ascii="宋体" w:hAnsi="宋体"/>
          <w:sz w:val="24"/>
        </w:rPr>
      </w:pPr>
      <w:r>
        <w:rPr>
          <w:rFonts w:hint="eastAsia" w:ascii="宋体" w:hAnsi="宋体"/>
          <w:sz w:val="24"/>
        </w:rPr>
        <w:t>①开标评审人员均按项目类别由系统随机在金龙公司的开标评审人才库随机抽选；</w:t>
      </w:r>
    </w:p>
    <w:p>
      <w:pPr>
        <w:spacing w:line="360" w:lineRule="auto"/>
        <w:ind w:firstLine="480" w:firstLineChars="200"/>
        <w:rPr>
          <w:rFonts w:hint="eastAsia" w:ascii="宋体" w:hAnsi="宋体"/>
          <w:sz w:val="24"/>
        </w:rPr>
      </w:pPr>
      <w:r>
        <w:rPr>
          <w:rFonts w:hint="eastAsia" w:ascii="宋体" w:hAnsi="宋体"/>
          <w:sz w:val="24"/>
        </w:rPr>
        <w:t>②针对技术复杂、专业性强或者存在特殊原因的由采购承办部门&amp;招标中心根据情况指定评标人员。</w:t>
      </w:r>
    </w:p>
    <w:p>
      <w:pPr>
        <w:spacing w:line="360" w:lineRule="auto"/>
        <w:ind w:firstLine="480" w:firstLineChars="200"/>
        <w:rPr>
          <w:rFonts w:hint="eastAsia" w:ascii="宋体" w:hAnsi="宋体"/>
          <w:sz w:val="24"/>
          <w:lang w:val="zh-CN"/>
        </w:rPr>
      </w:pPr>
      <w:r>
        <w:rPr>
          <w:rFonts w:hint="eastAsia" w:ascii="宋体" w:hAnsi="宋体"/>
          <w:sz w:val="24"/>
        </w:rPr>
        <w:t>③评标人员成员一般为5人及以上单数。</w:t>
      </w:r>
    </w:p>
    <w:p>
      <w:pPr>
        <w:pStyle w:val="14"/>
        <w:numPr>
          <w:ilvl w:val="0"/>
          <w:numId w:val="2"/>
        </w:numPr>
        <w:spacing w:line="360" w:lineRule="auto"/>
        <w:ind w:left="0" w:firstLine="480"/>
        <w:rPr>
          <w:rFonts w:hint="eastAsia" w:ascii="宋体" w:hAnsi="宋体"/>
          <w:lang w:val="zh-CN"/>
        </w:rPr>
      </w:pPr>
      <w:r>
        <w:rPr>
          <w:rFonts w:ascii="宋体" w:hAnsi="宋体"/>
          <w:lang w:val="zh-CN"/>
        </w:rPr>
        <w:t>由</w:t>
      </w:r>
      <w:r>
        <w:rPr>
          <w:rFonts w:hint="eastAsia" w:ascii="宋体" w:hAnsi="宋体"/>
        </w:rPr>
        <w:t>招标评审小组成员</w:t>
      </w:r>
      <w:r>
        <w:rPr>
          <w:rFonts w:ascii="宋体" w:hAnsi="宋体"/>
          <w:lang w:val="zh-CN"/>
        </w:rPr>
        <w:t>根据</w:t>
      </w:r>
      <w:r>
        <w:rPr>
          <w:rFonts w:hint="eastAsia" w:ascii="宋体" w:hAnsi="宋体"/>
          <w:lang w:val="zh-CN"/>
        </w:rPr>
        <w:t>招标文件</w:t>
      </w:r>
      <w:r>
        <w:rPr>
          <w:rFonts w:hint="eastAsia" w:ascii="宋体" w:hAnsi="宋体"/>
        </w:rPr>
        <w:t>审核的</w:t>
      </w:r>
      <w:r>
        <w:rPr>
          <w:rFonts w:ascii="宋体" w:hAnsi="宋体"/>
          <w:lang w:val="zh-CN"/>
        </w:rPr>
        <w:t>要求</w:t>
      </w:r>
      <w:r>
        <w:rPr>
          <w:rFonts w:hint="eastAsia" w:ascii="宋体" w:hAnsi="宋体"/>
          <w:lang w:val="zh-CN"/>
        </w:rPr>
        <w:t>（</w:t>
      </w:r>
      <w:r>
        <w:rPr>
          <w:rFonts w:hint="eastAsia" w:ascii="宋体" w:hAnsi="宋体"/>
        </w:rPr>
        <w:t>评审项目、内容、相关佐证材料</w:t>
      </w:r>
      <w:r>
        <w:rPr>
          <w:rFonts w:hint="eastAsia" w:ascii="宋体" w:hAnsi="宋体"/>
          <w:lang w:val="zh-CN"/>
        </w:rPr>
        <w:t>）、</w:t>
      </w:r>
      <w:r>
        <w:rPr>
          <w:rFonts w:hint="eastAsia" w:ascii="宋体" w:hAnsi="宋体"/>
        </w:rPr>
        <w:t>评分标准和计分方法</w:t>
      </w:r>
      <w:r>
        <w:rPr>
          <w:rFonts w:ascii="宋体" w:hAnsi="宋体"/>
          <w:lang w:val="zh-CN"/>
        </w:rPr>
        <w:t>，审核</w:t>
      </w:r>
      <w:r>
        <w:rPr>
          <w:rFonts w:hint="eastAsia" w:ascii="宋体" w:hAnsi="宋体"/>
        </w:rPr>
        <w:t>和评审</w:t>
      </w:r>
      <w:r>
        <w:rPr>
          <w:rFonts w:ascii="宋体" w:hAnsi="宋体"/>
          <w:lang w:val="zh-CN"/>
        </w:rPr>
        <w:t>各</w:t>
      </w:r>
      <w:r>
        <w:rPr>
          <w:rFonts w:hint="eastAsia" w:ascii="宋体" w:hAnsi="宋体"/>
          <w:lang w:val="zh-CN"/>
        </w:rPr>
        <w:t>投标方的</w:t>
      </w:r>
      <w:r>
        <w:rPr>
          <w:rFonts w:ascii="宋体" w:hAnsi="宋体"/>
          <w:lang w:val="zh-CN"/>
        </w:rPr>
        <w:t>投标文件</w:t>
      </w:r>
      <w:r>
        <w:rPr>
          <w:rFonts w:hint="eastAsia" w:ascii="宋体" w:hAnsi="宋体"/>
        </w:rPr>
        <w:t>的审核部分</w:t>
      </w:r>
      <w:r>
        <w:rPr>
          <w:rFonts w:ascii="宋体" w:hAnsi="宋体"/>
          <w:lang w:val="zh-CN"/>
        </w:rPr>
        <w:t>是否合格、有效</w:t>
      </w:r>
      <w:r>
        <w:rPr>
          <w:rFonts w:hint="eastAsia" w:ascii="宋体" w:hAnsi="宋体"/>
        </w:rPr>
        <w:t>或评价审核得分</w:t>
      </w:r>
      <w:r>
        <w:rPr>
          <w:rFonts w:hint="eastAsia" w:ascii="宋体" w:hAnsi="宋体"/>
          <w:lang w:val="zh-CN"/>
        </w:rPr>
        <w:t>（</w:t>
      </w:r>
      <w:r>
        <w:rPr>
          <w:rFonts w:ascii="宋体" w:hAnsi="宋体"/>
          <w:lang w:val="zh-CN"/>
        </w:rPr>
        <w:t>凡不符合专业条件要求</w:t>
      </w:r>
      <w:r>
        <w:rPr>
          <w:rFonts w:hint="eastAsia" w:ascii="宋体" w:hAnsi="宋体"/>
          <w:lang w:val="zh-CN"/>
        </w:rPr>
        <w:t>项</w:t>
      </w:r>
      <w:r>
        <w:rPr>
          <w:rFonts w:ascii="宋体" w:hAnsi="宋体"/>
          <w:lang w:val="zh-CN"/>
        </w:rPr>
        <w:t>和未实质性响应</w:t>
      </w:r>
      <w:r>
        <w:rPr>
          <w:rFonts w:hint="eastAsia" w:ascii="宋体" w:hAnsi="宋体"/>
        </w:rPr>
        <w:t>审核</w:t>
      </w:r>
      <w:r>
        <w:rPr>
          <w:rFonts w:hint="eastAsia" w:ascii="宋体" w:hAnsi="宋体"/>
          <w:lang w:val="zh-CN"/>
        </w:rPr>
        <w:t>文件</w:t>
      </w:r>
      <w:r>
        <w:rPr>
          <w:rFonts w:ascii="宋体" w:hAnsi="宋体"/>
          <w:lang w:val="zh-CN"/>
        </w:rPr>
        <w:t>要求的</w:t>
      </w:r>
      <w:r>
        <w:rPr>
          <w:rFonts w:hint="eastAsia" w:ascii="宋体" w:hAnsi="宋体"/>
          <w:lang w:val="zh-CN"/>
        </w:rPr>
        <w:t>内容项</w:t>
      </w:r>
      <w:r>
        <w:rPr>
          <w:rFonts w:ascii="宋体" w:hAnsi="宋体"/>
          <w:lang w:val="zh-CN"/>
        </w:rPr>
        <w:t>均不</w:t>
      </w:r>
      <w:r>
        <w:rPr>
          <w:rFonts w:hint="eastAsia" w:ascii="宋体" w:hAnsi="宋体"/>
          <w:lang w:val="zh-CN"/>
        </w:rPr>
        <w:t>得分）</w:t>
      </w:r>
      <w:r>
        <w:rPr>
          <w:rFonts w:ascii="宋体" w:hAnsi="宋体"/>
          <w:lang w:val="zh-CN"/>
        </w:rPr>
        <w:t>。</w:t>
      </w:r>
    </w:p>
    <w:p>
      <w:pPr>
        <w:pStyle w:val="14"/>
        <w:numPr>
          <w:ilvl w:val="0"/>
          <w:numId w:val="2"/>
        </w:numPr>
        <w:spacing w:line="360" w:lineRule="auto"/>
        <w:ind w:left="0" w:firstLine="480"/>
        <w:rPr>
          <w:rFonts w:hint="eastAsia" w:ascii="宋体" w:hAnsi="宋体"/>
          <w:lang w:val="zh-CN"/>
        </w:rPr>
      </w:pPr>
      <w:r>
        <w:rPr>
          <w:rFonts w:ascii="宋体" w:hAnsi="宋体"/>
          <w:lang w:val="zh-CN"/>
        </w:rPr>
        <w:t>通过</w:t>
      </w:r>
      <w:r>
        <w:rPr>
          <w:rFonts w:hint="eastAsia" w:ascii="宋体" w:hAnsi="宋体"/>
          <w:lang w:val="zh-CN"/>
        </w:rPr>
        <w:t>企业入围预审审核的入围投标方</w:t>
      </w:r>
      <w:r>
        <w:rPr>
          <w:rFonts w:ascii="宋体" w:hAnsi="宋体"/>
          <w:lang w:val="zh-CN"/>
        </w:rPr>
        <w:t>，</w:t>
      </w:r>
      <w:r>
        <w:rPr>
          <w:rFonts w:hint="eastAsia" w:ascii="宋体" w:hAnsi="宋体"/>
        </w:rPr>
        <w:t>按照供应商能力审核评审项目/评分标准的评分标准和计分方法，对其供应商能力项进行评分和计分。</w:t>
      </w:r>
    </w:p>
    <w:p>
      <w:pPr>
        <w:pStyle w:val="14"/>
        <w:numPr>
          <w:ilvl w:val="0"/>
          <w:numId w:val="2"/>
        </w:numPr>
        <w:spacing w:line="360" w:lineRule="auto"/>
        <w:ind w:left="0" w:firstLine="480"/>
        <w:rPr>
          <w:rFonts w:hint="eastAsia" w:ascii="宋体" w:hAnsi="宋体"/>
          <w:lang w:val="zh-CN"/>
        </w:rPr>
      </w:pPr>
      <w:r>
        <w:rPr>
          <w:rFonts w:hint="eastAsia" w:ascii="宋体" w:hAnsi="宋体"/>
        </w:rPr>
        <w:t>根据商务价格评分标准和计分方法,对其投标报价项进行评分和计分。</w:t>
      </w:r>
    </w:p>
    <w:p>
      <w:pPr>
        <w:pStyle w:val="14"/>
        <w:numPr>
          <w:ilvl w:val="0"/>
          <w:numId w:val="2"/>
        </w:numPr>
        <w:spacing w:line="360" w:lineRule="auto"/>
        <w:ind w:left="0" w:firstLine="480"/>
        <w:rPr>
          <w:rFonts w:hint="eastAsia" w:ascii="宋体" w:hAnsi="宋体"/>
          <w:lang w:val="zh-CN"/>
        </w:rPr>
      </w:pPr>
      <w:r>
        <w:rPr>
          <w:rFonts w:hint="eastAsia" w:ascii="宋体" w:hAnsi="宋体"/>
        </w:rPr>
        <w:t>根据供应商能力项的评分、商务价格项的评分的分配分值权重进行加权计算，计算出评标评审的最终综合评估分数，并按照从高到低依次进行排名，得出评审结果</w:t>
      </w:r>
      <w:bookmarkEnd w:id="9"/>
      <w:r>
        <w:rPr>
          <w:rFonts w:hint="eastAsia" w:ascii="宋体" w:hAnsi="宋体"/>
        </w:rPr>
        <w:t>。</w:t>
      </w:r>
    </w:p>
    <w:p>
      <w:pPr>
        <w:pStyle w:val="14"/>
        <w:numPr>
          <w:ilvl w:val="0"/>
          <w:numId w:val="1"/>
        </w:numPr>
        <w:spacing w:before="156" w:beforeLines="50" w:after="156" w:afterLines="50" w:line="440" w:lineRule="exact"/>
        <w:ind w:left="442" w:hanging="442" w:firstLineChars="0"/>
        <w:outlineLvl w:val="1"/>
        <w:rPr>
          <w:rFonts w:hint="eastAsia" w:ascii="宋体" w:hAnsi="宋体"/>
          <w:b/>
          <w:color w:val="FF0000"/>
          <w:sz w:val="28"/>
          <w:szCs w:val="28"/>
          <w:lang w:val="zh-CN"/>
        </w:rPr>
      </w:pPr>
      <w:r>
        <w:rPr>
          <w:rFonts w:hint="eastAsia" w:ascii="宋体" w:hAnsi="宋体"/>
          <w:b/>
          <w:sz w:val="28"/>
          <w:szCs w:val="28"/>
          <w:lang w:val="zh-CN"/>
        </w:rPr>
        <w:t>评标标准</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供应商商务B因素分</w:t>
      </w:r>
      <w:r>
        <w:rPr>
          <w:rFonts w:hint="eastAsia" w:ascii="宋体" w:hAnsi="宋体" w:cs="宋体"/>
          <w:b/>
          <w:lang w:val="zh-CN"/>
        </w:rPr>
        <w:t>F</w:t>
      </w:r>
      <w:r>
        <w:rPr>
          <w:rFonts w:hint="eastAsia" w:ascii="宋体" w:hAnsi="宋体" w:cs="宋体"/>
          <w:b/>
        </w:rPr>
        <w:t>1</w:t>
      </w:r>
      <w:r>
        <w:rPr>
          <w:rFonts w:hint="eastAsia" w:ascii="宋体" w:hAnsi="宋体" w:cs="宋体"/>
          <w:b/>
          <w:color w:val="FF0000"/>
          <w:lang w:val="zh-CN"/>
        </w:rPr>
        <w:t>（满分</w:t>
      </w:r>
      <w:r>
        <w:rPr>
          <w:rFonts w:hint="eastAsia" w:ascii="宋体" w:hAnsi="宋体" w:cs="宋体"/>
          <w:b/>
          <w:color w:val="FF0000"/>
          <w:lang w:val="en-US" w:eastAsia="zh-CN"/>
        </w:rPr>
        <w:t>45</w:t>
      </w:r>
      <w:r>
        <w:rPr>
          <w:rFonts w:hint="eastAsia" w:ascii="宋体" w:hAnsi="宋体" w:cs="宋体"/>
          <w:b/>
          <w:color w:val="FF0000"/>
        </w:rPr>
        <w:t>分</w:t>
      </w:r>
      <w:r>
        <w:rPr>
          <w:rFonts w:hint="eastAsia" w:ascii="宋体" w:hAnsi="宋体" w:cs="宋体"/>
          <w:b/>
          <w:color w:val="FF0000"/>
          <w:lang w:val="zh-CN"/>
        </w:rPr>
        <w:t>）</w:t>
      </w:r>
    </w:p>
    <w:p>
      <w:pPr>
        <w:pStyle w:val="14"/>
        <w:spacing w:line="360" w:lineRule="auto"/>
        <w:ind w:firstLine="0" w:firstLineChars="0"/>
        <w:rPr>
          <w:rFonts w:hint="eastAsia" w:ascii="宋体" w:hAnsi="宋体" w:cs="宋体"/>
          <w:bCs/>
          <w:lang w:val="zh-CN"/>
        </w:rPr>
      </w:pPr>
      <w:r>
        <w:rPr>
          <w:rFonts w:hint="eastAsia" w:ascii="宋体" w:hAnsi="宋体" w:cs="宋体"/>
          <w:bCs/>
        </w:rPr>
        <w:t>见表一：</w:t>
      </w:r>
      <w:r>
        <w:rPr>
          <w:rFonts w:hint="eastAsia" w:ascii="宋体" w:hAnsi="宋体"/>
          <w:bCs/>
        </w:rPr>
        <w:t>供应商商务B评审</w:t>
      </w:r>
      <w:r>
        <w:rPr>
          <w:rFonts w:hint="eastAsia" w:ascii="宋体" w:hAnsi="宋体" w:cs="宋体"/>
          <w:bCs/>
        </w:rPr>
        <w:t>项目/评分标准,按表一内容及评审分值进行评审。</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供应商技术T因素分F2</w:t>
      </w:r>
      <w:r>
        <w:rPr>
          <w:rFonts w:hint="eastAsia" w:ascii="宋体" w:hAnsi="宋体" w:cs="宋体"/>
          <w:b/>
          <w:color w:val="FF0000"/>
          <w:lang w:val="zh-CN"/>
        </w:rPr>
        <w:t>（满分</w:t>
      </w:r>
      <w:r>
        <w:rPr>
          <w:rFonts w:hint="eastAsia" w:ascii="宋体" w:hAnsi="宋体" w:cs="宋体"/>
          <w:b/>
          <w:color w:val="FF0000"/>
          <w:lang w:val="en-US" w:eastAsia="zh-CN"/>
        </w:rPr>
        <w:t>25</w:t>
      </w:r>
      <w:r>
        <w:rPr>
          <w:rFonts w:hint="eastAsia" w:ascii="宋体" w:hAnsi="宋体" w:cs="宋体"/>
          <w:b/>
          <w:color w:val="FF0000"/>
        </w:rPr>
        <w:t>分</w:t>
      </w:r>
      <w:r>
        <w:rPr>
          <w:rFonts w:hint="eastAsia" w:ascii="宋体" w:hAnsi="宋体" w:cs="宋体"/>
          <w:b/>
          <w:color w:val="FF0000"/>
          <w:lang w:val="zh-CN"/>
        </w:rPr>
        <w:t>）</w:t>
      </w:r>
    </w:p>
    <w:p>
      <w:pPr>
        <w:pStyle w:val="14"/>
        <w:spacing w:line="360" w:lineRule="auto"/>
        <w:ind w:firstLine="0" w:firstLineChars="0"/>
        <w:rPr>
          <w:rFonts w:hint="eastAsia" w:ascii="宋体" w:hAnsi="宋体" w:cs="宋体"/>
          <w:bCs/>
        </w:rPr>
      </w:pPr>
      <w:r>
        <w:rPr>
          <w:rFonts w:hint="eastAsia" w:ascii="宋体" w:hAnsi="宋体" w:cs="宋体"/>
          <w:bCs/>
        </w:rPr>
        <w:t>见表二：</w:t>
      </w:r>
      <w:r>
        <w:rPr>
          <w:rFonts w:hint="eastAsia" w:ascii="宋体" w:hAnsi="宋体"/>
          <w:bCs/>
        </w:rPr>
        <w:t>供应商技术T评审</w:t>
      </w:r>
      <w:r>
        <w:rPr>
          <w:rFonts w:hint="eastAsia" w:ascii="宋体" w:hAnsi="宋体" w:cs="宋体"/>
          <w:bCs/>
        </w:rPr>
        <w:t>项目/评分标准,按表二内容及评审分值进行评审。</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szCs w:val="20"/>
        </w:rPr>
        <w:t>价格C</w:t>
      </w:r>
      <w:r>
        <w:rPr>
          <w:rFonts w:hint="eastAsia" w:ascii="宋体" w:hAnsi="宋体" w:cs="宋体"/>
          <w:b/>
          <w:szCs w:val="20"/>
          <w:lang w:val="zh-CN"/>
        </w:rPr>
        <w:t>因素分F</w:t>
      </w:r>
      <w:r>
        <w:rPr>
          <w:rFonts w:hint="eastAsia" w:ascii="宋体" w:hAnsi="宋体" w:cs="宋体"/>
          <w:b/>
          <w:szCs w:val="20"/>
        </w:rPr>
        <w:t>3</w:t>
      </w:r>
      <w:r>
        <w:rPr>
          <w:rFonts w:hint="eastAsia" w:ascii="宋体" w:hAnsi="宋体" w:cs="宋体"/>
          <w:b/>
          <w:color w:val="FF0000"/>
          <w:szCs w:val="20"/>
          <w:lang w:val="zh-CN"/>
        </w:rPr>
        <w:t>（满分</w:t>
      </w:r>
      <w:r>
        <w:rPr>
          <w:rFonts w:hint="eastAsia" w:ascii="宋体" w:hAnsi="宋体" w:cs="宋体"/>
          <w:b/>
          <w:color w:val="FF0000"/>
          <w:szCs w:val="20"/>
          <w:lang w:val="en-US" w:eastAsia="zh-CN"/>
        </w:rPr>
        <w:t>30</w:t>
      </w:r>
      <w:r>
        <w:rPr>
          <w:rFonts w:hint="eastAsia" w:ascii="宋体" w:hAnsi="宋体" w:cs="宋体"/>
          <w:b/>
          <w:color w:val="FF0000"/>
          <w:szCs w:val="20"/>
        </w:rPr>
        <w:t>分）</w:t>
      </w:r>
    </w:p>
    <w:p>
      <w:pPr>
        <w:pStyle w:val="14"/>
        <w:spacing w:line="360" w:lineRule="auto"/>
        <w:ind w:firstLine="0" w:firstLineChars="0"/>
        <w:rPr>
          <w:rFonts w:hint="eastAsia" w:ascii="宋体" w:hAnsi="宋体" w:cs="宋体"/>
          <w:bCs/>
        </w:rPr>
      </w:pPr>
      <w:r>
        <w:rPr>
          <w:rFonts w:hint="eastAsia" w:ascii="宋体" w:hAnsi="宋体" w:cs="宋体"/>
          <w:bCs/>
        </w:rPr>
        <w:t>见表三：供应商价格C评审项目/评分标准,按表三内容及评审分值进行评审。</w:t>
      </w:r>
    </w:p>
    <w:p>
      <w:pPr>
        <w:pStyle w:val="14"/>
        <w:numPr>
          <w:ilvl w:val="0"/>
          <w:numId w:val="3"/>
        </w:numPr>
        <w:spacing w:line="360" w:lineRule="auto"/>
        <w:ind w:firstLineChars="0"/>
        <w:outlineLvl w:val="2"/>
        <w:rPr>
          <w:rFonts w:hint="eastAsia" w:ascii="宋体" w:hAnsi="宋体" w:cs="宋体"/>
          <w:b/>
          <w:lang w:val="zh-CN"/>
        </w:rPr>
      </w:pPr>
      <w:r>
        <w:rPr>
          <w:rFonts w:hint="eastAsia" w:ascii="宋体" w:hAnsi="宋体" w:cs="宋体"/>
          <w:b/>
          <w:lang w:val="zh-CN"/>
        </w:rPr>
        <w:t>评标</w:t>
      </w:r>
      <w:r>
        <w:rPr>
          <w:rFonts w:hint="eastAsia" w:ascii="宋体" w:hAnsi="宋体" w:cs="宋体"/>
          <w:b/>
        </w:rPr>
        <w:t>综合</w:t>
      </w:r>
      <w:r>
        <w:rPr>
          <w:rFonts w:hint="eastAsia" w:ascii="宋体" w:hAnsi="宋体" w:cs="宋体"/>
          <w:b/>
          <w:lang w:val="zh-CN"/>
        </w:rPr>
        <w:t>得分汇总</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各部分评分分值分布及评分标准如下:</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pPr>
        <w:tabs>
          <w:tab w:val="left" w:pos="0"/>
        </w:tabs>
        <w:spacing w:line="360" w:lineRule="auto"/>
        <w:ind w:firstLine="482" w:firstLineChars="200"/>
        <w:rPr>
          <w:rFonts w:hint="eastAsia" w:ascii="宋体" w:hAnsi="宋体" w:cs="宋体"/>
          <w:b/>
          <w:color w:val="FF0000"/>
          <w:sz w:val="24"/>
          <w:szCs w:val="20"/>
        </w:rPr>
      </w:pPr>
      <w:r>
        <w:rPr>
          <w:rFonts w:hint="eastAsia" w:ascii="宋体" w:hAnsi="宋体"/>
          <w:b/>
          <w:color w:val="FF0000"/>
          <w:sz w:val="24"/>
        </w:rPr>
        <w:t>综合得分＝F1+F2</w:t>
      </w:r>
      <w:r>
        <w:rPr>
          <w:rFonts w:ascii="宋体" w:hAnsi="宋体"/>
          <w:b/>
          <w:color w:val="FF0000"/>
          <w:sz w:val="24"/>
        </w:rPr>
        <w:t>+F3</w:t>
      </w:r>
    </w:p>
    <w:p>
      <w:pPr>
        <w:pStyle w:val="14"/>
        <w:numPr>
          <w:ilvl w:val="0"/>
          <w:numId w:val="3"/>
        </w:numPr>
        <w:tabs>
          <w:tab w:val="left" w:pos="0"/>
        </w:tabs>
        <w:spacing w:line="360" w:lineRule="auto"/>
        <w:ind w:firstLineChars="0"/>
        <w:outlineLvl w:val="2"/>
        <w:rPr>
          <w:rFonts w:hint="eastAsia" w:ascii="宋体" w:hAnsi="宋体" w:cs="宋体"/>
          <w:b/>
          <w:color w:val="FF0000"/>
          <w:szCs w:val="20"/>
        </w:rPr>
      </w:pPr>
      <w:r>
        <w:rPr>
          <w:rFonts w:ascii="宋体" w:hAnsi="宋体" w:cs="宋体"/>
          <w:b/>
          <w:lang w:val="zh-CN"/>
        </w:rPr>
        <w:t>推荐</w:t>
      </w:r>
      <w:r>
        <w:rPr>
          <w:rFonts w:hint="eastAsia" w:ascii="宋体" w:hAnsi="宋体" w:cs="宋体"/>
          <w:b/>
          <w:lang w:val="zh-CN"/>
        </w:rPr>
        <w:t>中标候选人</w:t>
      </w:r>
      <w:r>
        <w:rPr>
          <w:rFonts w:ascii="宋体" w:hAnsi="宋体" w:cs="宋体"/>
          <w:b/>
          <w:lang w:val="zh-CN"/>
        </w:rPr>
        <w:t>名单</w:t>
      </w:r>
    </w:p>
    <w:p>
      <w:pPr>
        <w:spacing w:line="360" w:lineRule="auto"/>
        <w:ind w:firstLine="480" w:firstLineChars="200"/>
        <w:rPr>
          <w:rFonts w:hint="eastAsia" w:ascii="宋体" w:hAnsi="宋体" w:cs="宋体"/>
          <w:b/>
          <w:sz w:val="24"/>
          <w:lang w:val="zh-CN"/>
        </w:rPr>
      </w:pPr>
      <w:r>
        <w:rPr>
          <w:rFonts w:ascii="宋体" w:hAnsi="宋体" w:cs="宋体"/>
          <w:sz w:val="24"/>
        </w:rPr>
        <w:t>1、</w:t>
      </w:r>
      <w:r>
        <w:rPr>
          <w:rFonts w:hint="eastAsia" w:ascii="宋体" w:hAnsi="宋体" w:cs="宋体"/>
          <w:sz w:val="24"/>
        </w:rPr>
        <w:t>项目或各标段的中标候选人</w:t>
      </w:r>
      <w:r>
        <w:rPr>
          <w:rFonts w:ascii="宋体" w:hAnsi="宋体" w:cs="宋体"/>
          <w:sz w:val="24"/>
        </w:rPr>
        <w:t>数量：</w:t>
      </w:r>
      <w:r>
        <w:rPr>
          <w:rFonts w:ascii="宋体" w:hAnsi="宋体" w:cs="宋体"/>
          <w:b/>
          <w:sz w:val="24"/>
          <w:u w:val="single"/>
        </w:rPr>
        <w:t xml:space="preserve"> </w:t>
      </w:r>
      <w:r>
        <w:rPr>
          <w:rFonts w:hint="eastAsia" w:ascii="宋体" w:hAnsi="宋体" w:cs="宋体"/>
          <w:b/>
          <w:sz w:val="24"/>
          <w:u w:val="single"/>
        </w:rPr>
        <w:t xml:space="preserve"> </w:t>
      </w:r>
      <w:r>
        <w:rPr>
          <w:rFonts w:hint="eastAsia" w:ascii="宋体" w:hAnsi="宋体" w:cs="宋体"/>
          <w:b/>
          <w:color w:val="0000FF"/>
          <w:sz w:val="24"/>
          <w:u w:val="single"/>
        </w:rPr>
        <w:t xml:space="preserve">3 </w:t>
      </w:r>
      <w:r>
        <w:rPr>
          <w:rFonts w:ascii="宋体" w:hAnsi="宋体" w:cs="宋体"/>
          <w:b/>
          <w:sz w:val="24"/>
          <w:u w:val="single"/>
        </w:rPr>
        <w:t xml:space="preserve"> </w:t>
      </w:r>
      <w:r>
        <w:rPr>
          <w:rFonts w:ascii="宋体" w:hAnsi="宋体" w:cs="宋体"/>
          <w:sz w:val="24"/>
        </w:rPr>
        <w:t>个。</w:t>
      </w:r>
    </w:p>
    <w:p>
      <w:pPr>
        <w:spacing w:line="360" w:lineRule="auto"/>
        <w:ind w:firstLine="480" w:firstLineChars="200"/>
        <w:rPr>
          <w:rFonts w:hint="eastAsia" w:ascii="宋体" w:hAnsi="宋体" w:cs="宋体"/>
          <w:bCs/>
          <w:sz w:val="24"/>
        </w:rPr>
      </w:pPr>
      <w:r>
        <w:rPr>
          <w:rFonts w:ascii="宋体" w:hAnsi="宋体" w:cs="宋体"/>
          <w:sz w:val="24"/>
        </w:rPr>
        <w:t>2、</w:t>
      </w:r>
      <w:r>
        <w:rPr>
          <w:rFonts w:hint="eastAsia" w:ascii="宋体" w:hAnsi="宋体" w:cs="宋体"/>
          <w:sz w:val="24"/>
        </w:rPr>
        <w:t>中标候选人</w:t>
      </w:r>
      <w:r>
        <w:rPr>
          <w:rFonts w:ascii="宋体" w:hAnsi="宋体" w:cs="宋体"/>
          <w:sz w:val="24"/>
        </w:rPr>
        <w:t>排列顺序。经投标文件</w:t>
      </w:r>
      <w:r>
        <w:rPr>
          <w:rFonts w:hint="eastAsia" w:ascii="宋体" w:hAnsi="宋体"/>
          <w:sz w:val="24"/>
        </w:rPr>
        <w:t>资格审核</w:t>
      </w:r>
      <w:r>
        <w:rPr>
          <w:rFonts w:ascii="宋体" w:hAnsi="宋体" w:cs="宋体"/>
          <w:sz w:val="24"/>
        </w:rPr>
        <w:t>、澄清有关问题、比较与</w:t>
      </w:r>
      <w:r>
        <w:rPr>
          <w:rFonts w:hint="eastAsia" w:ascii="宋体" w:hAnsi="宋体" w:cs="宋体"/>
          <w:sz w:val="24"/>
        </w:rPr>
        <w:t>评审</w:t>
      </w:r>
      <w:r>
        <w:rPr>
          <w:rFonts w:ascii="宋体" w:hAnsi="宋体" w:cs="宋体"/>
          <w:sz w:val="24"/>
        </w:rPr>
        <w:t>评标程序后，按以下办法推荐</w:t>
      </w:r>
      <w:r>
        <w:rPr>
          <w:rFonts w:hint="eastAsia" w:ascii="宋体" w:hAnsi="宋体" w:cs="宋体"/>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hint="eastAsia" w:ascii="宋体" w:hAnsi="宋体" w:cs="宋体"/>
          <w:bCs/>
          <w:sz w:val="24"/>
        </w:rPr>
        <w:t>；综合</w:t>
      </w:r>
      <w:r>
        <w:rPr>
          <w:rFonts w:ascii="宋体" w:hAnsi="宋体" w:cs="宋体"/>
          <w:bCs/>
          <w:sz w:val="24"/>
        </w:rPr>
        <w:t>得分相同的，按</w:t>
      </w:r>
      <w:r>
        <w:rPr>
          <w:rFonts w:hint="eastAsia" w:ascii="宋体" w:hAnsi="宋体" w:cs="宋体"/>
          <w:bCs/>
          <w:sz w:val="24"/>
        </w:rPr>
        <w:t>商务报价分项</w:t>
      </w:r>
      <w:r>
        <w:rPr>
          <w:rFonts w:ascii="宋体" w:hAnsi="宋体" w:cs="宋体"/>
          <w:bCs/>
          <w:sz w:val="24"/>
        </w:rPr>
        <w:t>由低到高顺序排列</w:t>
      </w:r>
      <w:r>
        <w:rPr>
          <w:rFonts w:hint="eastAsia" w:ascii="宋体" w:hAnsi="宋体" w:cs="宋体"/>
          <w:bCs/>
          <w:sz w:val="24"/>
        </w:rPr>
        <w:t>；综合</w:t>
      </w:r>
      <w:r>
        <w:rPr>
          <w:rFonts w:ascii="宋体" w:hAnsi="宋体" w:cs="宋体"/>
          <w:bCs/>
          <w:sz w:val="24"/>
        </w:rPr>
        <w:t>得分且</w:t>
      </w:r>
      <w:r>
        <w:rPr>
          <w:rFonts w:hint="eastAsia" w:ascii="宋体" w:hAnsi="宋体" w:cs="宋体"/>
          <w:bCs/>
          <w:sz w:val="24"/>
        </w:rPr>
        <w:t>商务</w:t>
      </w:r>
      <w:r>
        <w:rPr>
          <w:rFonts w:ascii="宋体" w:hAnsi="宋体" w:cs="宋体"/>
          <w:bCs/>
          <w:sz w:val="24"/>
        </w:rPr>
        <w:t>报价相同的，按</w:t>
      </w:r>
      <w:r>
        <w:rPr>
          <w:rFonts w:hint="eastAsia" w:ascii="宋体" w:hAnsi="宋体" w:cs="宋体"/>
          <w:bCs/>
          <w:sz w:val="24"/>
        </w:rPr>
        <w:t>供应商在投标时的注册资本（若有入围预审的，以入围审核</w:t>
      </w:r>
      <w:r>
        <w:rPr>
          <w:rFonts w:ascii="宋体" w:hAnsi="宋体" w:cs="宋体"/>
          <w:bCs/>
          <w:sz w:val="24"/>
        </w:rPr>
        <w:t>得分</w:t>
      </w:r>
      <w:r>
        <w:rPr>
          <w:rFonts w:hint="eastAsia" w:ascii="宋体" w:hAnsi="宋体" w:cs="宋体"/>
          <w:bCs/>
          <w:sz w:val="24"/>
        </w:rPr>
        <w:t>）</w:t>
      </w:r>
      <w:r>
        <w:rPr>
          <w:rFonts w:ascii="宋体" w:hAnsi="宋体" w:cs="宋体"/>
          <w:bCs/>
          <w:sz w:val="24"/>
        </w:rPr>
        <w:t>由高到低顺序排列</w:t>
      </w:r>
      <w:r>
        <w:rPr>
          <w:rFonts w:hint="eastAsia" w:ascii="宋体" w:hAnsi="宋体" w:cs="宋体"/>
          <w:bCs/>
          <w:sz w:val="24"/>
        </w:rPr>
        <w:t>。</w:t>
      </w:r>
    </w:p>
    <w:p>
      <w:pPr>
        <w:pStyle w:val="14"/>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ascii="宋体" w:hAnsi="宋体"/>
          <w:b/>
          <w:sz w:val="28"/>
          <w:szCs w:val="28"/>
          <w:lang w:val="zh-CN"/>
        </w:rPr>
        <w:t>定标原则</w:t>
      </w:r>
    </w:p>
    <w:p>
      <w:pPr>
        <w:spacing w:line="360" w:lineRule="auto"/>
        <w:ind w:firstLine="562" w:firstLineChars="200"/>
        <w:rPr>
          <w:rFonts w:hint="eastAsia"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b/>
          <w:color w:val="FF0000"/>
          <w:sz w:val="28"/>
          <w:szCs w:val="28"/>
          <w:u w:val="single"/>
        </w:rPr>
        <w:t>1</w:t>
      </w:r>
      <w:r>
        <w:rPr>
          <w:rFonts w:ascii="宋体" w:hAnsi="宋体"/>
          <w:b/>
          <w:sz w:val="28"/>
          <w:szCs w:val="28"/>
          <w:u w:val="single"/>
          <w:lang w:val="zh-CN"/>
        </w:rPr>
        <w:t xml:space="preserve"> </w:t>
      </w:r>
      <w:r>
        <w:rPr>
          <w:rFonts w:ascii="宋体" w:hAnsi="宋体"/>
          <w:b/>
          <w:sz w:val="28"/>
          <w:szCs w:val="28"/>
          <w:lang w:val="zh-CN"/>
        </w:rPr>
        <w:t>个。</w:t>
      </w:r>
    </w:p>
    <w:p>
      <w:pPr>
        <w:pStyle w:val="14"/>
        <w:numPr>
          <w:ilvl w:val="1"/>
          <w:numId w:val="2"/>
        </w:numPr>
        <w:spacing w:line="360" w:lineRule="auto"/>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pPr>
        <w:pStyle w:val="14"/>
        <w:numPr>
          <w:ilvl w:val="1"/>
          <w:numId w:val="2"/>
        </w:numPr>
        <w:spacing w:line="360" w:lineRule="auto"/>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pPr>
        <w:pStyle w:val="14"/>
        <w:numPr>
          <w:ilvl w:val="1"/>
          <w:numId w:val="2"/>
        </w:numPr>
        <w:spacing w:line="360" w:lineRule="auto"/>
        <w:ind w:left="0" w:firstLine="480"/>
      </w:pPr>
      <w:r>
        <w:rPr>
          <w:rFonts w:hint="eastAsia" w:hAnsi="宋体"/>
        </w:rPr>
        <w:t>在中标人无法通过现场审核或无法正常签订及履行合同的情况下，采购人有权依照中标候选人名单排序顺延其他中标候选人作为中标人或者重新组织招标</w:t>
      </w:r>
      <w:r>
        <w:rPr>
          <w:rFonts w:hint="eastAsia" w:ascii="宋体" w:hAnsi="宋体" w:cs="宋体"/>
        </w:rPr>
        <w:t>。</w:t>
      </w:r>
    </w:p>
    <w:p>
      <w:pPr>
        <w:spacing w:line="360" w:lineRule="auto"/>
        <w:rPr>
          <w:b/>
          <w:bCs/>
          <w:sz w:val="24"/>
          <w:szCs w:val="24"/>
        </w:rPr>
      </w:pPr>
      <w:r>
        <w:rPr>
          <w:b/>
          <w:bCs/>
          <w:sz w:val="24"/>
          <w:szCs w:val="24"/>
        </w:rPr>
        <w:t>投标人参与本项目的投标，即视为同意上述</w:t>
      </w:r>
      <w:r>
        <w:rPr>
          <w:rFonts w:hint="eastAsia"/>
          <w:b/>
          <w:bCs/>
          <w:sz w:val="24"/>
          <w:szCs w:val="24"/>
        </w:rPr>
        <w:t>定标方式。</w:t>
      </w:r>
    </w:p>
    <w:p>
      <w:pPr>
        <w:pStyle w:val="14"/>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hint="eastAsia" w:ascii="宋体" w:hAnsi="宋体"/>
          <w:b/>
          <w:sz w:val="28"/>
          <w:szCs w:val="28"/>
          <w:lang w:val="zh-CN"/>
        </w:rPr>
        <w:t>评审相关及追责</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标后履约管理由招标需求部门或相应采购部门负责；针对中标供应商的商务B、技术T、价格C方面，相应责任部门应建立起有效的合同履行和评价体系，进行有效监管。</w:t>
      </w:r>
    </w:p>
    <w:p>
      <w:pPr>
        <w:pStyle w:val="14"/>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①若为中标人存在弄虚作假、隐瞒欺骗，造成严重的资质、技术、产品质量性能、交付供应、售后服务及其他承诺不履行等问题，将严格追究中标人的责任和造成损失的赔偿；</w:t>
      </w:r>
    </w:p>
    <w:p>
      <w:pPr>
        <w:pStyle w:val="14"/>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pPr>
        <w:pStyle w:val="14"/>
        <w:numPr>
          <w:ilvl w:val="0"/>
          <w:numId w:val="4"/>
        </w:numPr>
        <w:spacing w:line="360" w:lineRule="auto"/>
        <w:ind w:left="0" w:firstLine="480"/>
        <w:rPr>
          <w:rFonts w:hint="eastAsia" w:ascii="宋体" w:hAnsi="宋体"/>
          <w:color w:val="000000" w:themeColor="text1"/>
          <w14:textFill>
            <w14:solidFill>
              <w14:schemeClr w14:val="tx1"/>
            </w14:solidFill>
          </w14:textFill>
        </w:rPr>
        <w:sectPr>
          <w:pgSz w:w="11906" w:h="16838"/>
          <w:pgMar w:top="1418" w:right="1134" w:bottom="851" w:left="1418" w:header="851" w:footer="992" w:gutter="0"/>
          <w:cols w:space="425" w:num="1"/>
          <w:docGrid w:type="lines" w:linePitch="312" w:charSpace="0"/>
        </w:sectPr>
      </w:pPr>
      <w:r>
        <w:rPr>
          <w:rFonts w:hint="eastAsia" w:ascii="宋体" w:hAnsi="宋体"/>
          <w:color w:val="000000" w:themeColor="text1"/>
          <w14:textFill>
            <w14:solidFill>
              <w14:schemeClr w14:val="tx1"/>
            </w14:solidFill>
          </w14:textFill>
        </w:rPr>
        <w:t>招标中心可组织对评审小组评标专家的履职情况进行评价，作为年度评标专家考核的依据，视阶段履职考核进行评审活动的劳务报酬、奖励分配及评审资格延续。</w:t>
      </w:r>
    </w:p>
    <w:p>
      <w:pPr>
        <w:pStyle w:val="29"/>
        <w:jc w:val="left"/>
        <w:rPr>
          <w:rFonts w:ascii="宋体" w:hAnsi="宋体" w:eastAsia="宋体" w:cs="宋体"/>
          <w:b/>
          <w:bCs w:val="0"/>
          <w:sz w:val="24"/>
          <w:szCs w:val="22"/>
        </w:rPr>
      </w:pPr>
      <w:bookmarkStart w:id="10" w:name="_Toc217295097"/>
      <w:r>
        <w:rPr>
          <w:rFonts w:ascii="宋体" w:hAnsi="宋体" w:eastAsia="宋体" w:cs="宋体"/>
          <w:b/>
          <w:bCs w:val="0"/>
          <w:sz w:val="24"/>
          <w:szCs w:val="22"/>
        </w:rPr>
        <w:t>表一：供应商商务B审核评审项目/评分标准</w:t>
      </w:r>
      <w:bookmarkStart w:id="11" w:name="OLE_LINK7"/>
    </w:p>
    <w:bookmarkEnd w:id="11"/>
    <w:tbl>
      <w:tblPr>
        <w:tblStyle w:val="13"/>
        <w:tblW w:w="13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976"/>
        <w:gridCol w:w="1955"/>
        <w:gridCol w:w="976"/>
        <w:gridCol w:w="9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 w:hRule="atLeast"/>
          <w:jc w:val="center"/>
        </w:trPr>
        <w:tc>
          <w:tcPr>
            <w:tcW w:w="530"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w:t>
            </w:r>
          </w:p>
        </w:tc>
        <w:tc>
          <w:tcPr>
            <w:tcW w:w="976"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955"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976"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9085"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jc w:val="center"/>
        </w:trPr>
        <w:tc>
          <w:tcPr>
            <w:tcW w:w="530" w:type="dxa"/>
            <w:vMerge w:val="restart"/>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w:t>
            </w:r>
          </w:p>
        </w:tc>
        <w:tc>
          <w:tcPr>
            <w:tcW w:w="976" w:type="dxa"/>
            <w:vMerge w:val="restart"/>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商务B</w:t>
            </w:r>
          </w:p>
        </w:tc>
        <w:tc>
          <w:tcPr>
            <w:tcW w:w="1955" w:type="dxa"/>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lang w:val="en-US" w:eastAsia="zh-CN"/>
              </w:rPr>
              <w:t>辅导</w:t>
            </w:r>
            <w:r>
              <w:rPr>
                <w:rFonts w:hint="eastAsia" w:ascii="宋体" w:hAnsi="宋体" w:cs="宋体"/>
                <w:b/>
                <w:bCs/>
                <w:color w:val="auto"/>
                <w:kern w:val="0"/>
                <w:sz w:val="18"/>
                <w:szCs w:val="18"/>
              </w:rPr>
              <w:t>业绩/</w:t>
            </w:r>
            <w:r>
              <w:rPr>
                <w:rFonts w:hint="eastAsia" w:ascii="宋体" w:hAnsi="宋体" w:cs="宋体"/>
                <w:b/>
                <w:bCs/>
                <w:color w:val="auto"/>
                <w:kern w:val="0"/>
                <w:sz w:val="18"/>
                <w:szCs w:val="18"/>
                <w:lang w:val="en-US" w:eastAsia="zh-CN"/>
              </w:rPr>
              <w:t>获奖率/</w:t>
            </w:r>
            <w:r>
              <w:rPr>
                <w:rFonts w:hint="eastAsia" w:ascii="宋体" w:hAnsi="宋体" w:cs="宋体"/>
                <w:b/>
                <w:bCs/>
                <w:color w:val="auto"/>
                <w:kern w:val="0"/>
                <w:sz w:val="18"/>
                <w:szCs w:val="18"/>
              </w:rPr>
              <w:t>满意度</w:t>
            </w:r>
          </w:p>
        </w:tc>
        <w:tc>
          <w:tcPr>
            <w:tcW w:w="976" w:type="dxa"/>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lang w:val="en-US" w:eastAsia="zh-CN"/>
              </w:rPr>
              <w:t>25</w:t>
            </w:r>
            <w:r>
              <w:rPr>
                <w:rFonts w:hint="eastAsia" w:ascii="宋体" w:hAnsi="宋体" w:cs="宋体"/>
                <w:b/>
                <w:bCs/>
                <w:color w:val="auto"/>
                <w:kern w:val="0"/>
                <w:sz w:val="18"/>
                <w:szCs w:val="18"/>
              </w:rPr>
              <w:t>分</w:t>
            </w:r>
          </w:p>
        </w:tc>
        <w:tc>
          <w:tcPr>
            <w:tcW w:w="9085" w:type="dxa"/>
            <w:vAlign w:val="center"/>
          </w:tcPr>
          <w:p>
            <w:pPr>
              <w:widowControl/>
              <w:numPr>
                <w:ilvl w:val="0"/>
                <w:numId w:val="0"/>
              </w:numPr>
              <w:tabs>
                <w:tab w:val="left" w:pos="312"/>
              </w:tabs>
              <w:spacing w:line="240" w:lineRule="exact"/>
              <w:ind w:leftChars="0"/>
              <w:jc w:val="left"/>
              <w:rPr>
                <w:rFonts w:hint="eastAsia" w:ascii="宋体" w:hAnsi="宋体" w:cs="宋体"/>
                <w:b/>
                <w:bCs/>
                <w:color w:val="auto"/>
                <w:kern w:val="0"/>
                <w:sz w:val="18"/>
                <w:szCs w:val="18"/>
              </w:rPr>
            </w:pPr>
            <w:r>
              <w:rPr>
                <w:rFonts w:hint="eastAsia" w:ascii="宋体" w:hAnsi="宋体" w:eastAsia="宋体" w:cs="宋体"/>
                <w:b/>
                <w:bCs/>
                <w:color w:val="auto"/>
                <w:kern w:val="0"/>
                <w:sz w:val="18"/>
                <w:szCs w:val="18"/>
                <w:lang w:val="en-US" w:eastAsia="zh-CN" w:bidi="ar-SA"/>
              </w:rPr>
              <w:t>提供近3届（第五届、第六届、第七届）辅导厦门市质量奖企事业清单以及获奖清单。（提供相应服务合同证明（必要时隐去敏感相关项）及获奖证明，优先提供服务获奖的市属以上的企事业单位服务记录。）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jc w:val="center"/>
        </w:trPr>
        <w:tc>
          <w:tcPr>
            <w:tcW w:w="530"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976"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955" w:type="dxa"/>
            <w:vAlign w:val="center"/>
          </w:tcPr>
          <w:p>
            <w:pPr>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项目人员配置方案</w:t>
            </w:r>
          </w:p>
        </w:tc>
        <w:tc>
          <w:tcPr>
            <w:tcW w:w="976" w:type="dxa"/>
            <w:vAlign w:val="center"/>
          </w:tcPr>
          <w:p>
            <w:pPr>
              <w:spacing w:line="240" w:lineRule="exact"/>
              <w:jc w:val="center"/>
              <w:rPr>
                <w:rFonts w:hint="default" w:ascii="宋体" w:hAnsi="宋体" w:eastAsia="宋体" w:cs="宋体"/>
                <w:b/>
                <w:bCs/>
                <w:color w:val="auto"/>
                <w:kern w:val="0"/>
                <w:sz w:val="18"/>
                <w:szCs w:val="18"/>
                <w:lang w:val="en-US" w:eastAsia="zh-CN"/>
              </w:rPr>
            </w:pPr>
            <w:r>
              <w:rPr>
                <w:rFonts w:hint="eastAsia" w:ascii="宋体" w:hAnsi="宋体" w:cs="宋体"/>
                <w:b/>
                <w:bCs/>
                <w:color w:val="auto"/>
                <w:kern w:val="0"/>
                <w:sz w:val="18"/>
                <w:szCs w:val="18"/>
                <w:lang w:val="en-US" w:eastAsia="zh-CN"/>
              </w:rPr>
              <w:t>6分</w:t>
            </w:r>
          </w:p>
        </w:tc>
        <w:tc>
          <w:tcPr>
            <w:tcW w:w="9085" w:type="dxa"/>
            <w:vAlign w:val="center"/>
          </w:tcPr>
          <w:p>
            <w:pPr>
              <w:pStyle w:val="14"/>
              <w:widowControl/>
              <w:numPr>
                <w:ilvl w:val="0"/>
                <w:numId w:val="0"/>
              </w:numPr>
              <w:wordWrap w:val="0"/>
              <w:spacing w:line="240" w:lineRule="exact"/>
              <w:ind w:firstLineChars="0"/>
              <w:jc w:val="left"/>
              <w:rPr>
                <w:rFonts w:hint="eastAsia" w:ascii="宋体" w:hAnsi="宋体" w:cs="宋体"/>
                <w:b/>
                <w:bCs/>
                <w:color w:val="auto"/>
                <w:kern w:val="0"/>
                <w:sz w:val="18"/>
                <w:szCs w:val="18"/>
              </w:rPr>
            </w:pPr>
            <w:r>
              <w:rPr>
                <w:rFonts w:hint="eastAsia" w:ascii="宋体" w:hAnsi="宋体" w:eastAsia="宋体" w:cs="宋体"/>
                <w:b/>
                <w:bCs/>
                <w:color w:val="auto"/>
                <w:kern w:val="0"/>
                <w:sz w:val="18"/>
                <w:szCs w:val="18"/>
              </w:rPr>
              <w:t>提供拟投标项目的负责团队成员信息(包含但不限于姓名、性别、职位、相关专业、相关专业年限、政府质量奖评审员资质、职称证明、相关项目等)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jc w:val="center"/>
        </w:trPr>
        <w:tc>
          <w:tcPr>
            <w:tcW w:w="530" w:type="dxa"/>
            <w:vMerge w:val="continue"/>
            <w:vAlign w:val="center"/>
          </w:tcPr>
          <w:p>
            <w:pPr>
              <w:widowControl/>
              <w:spacing w:line="240" w:lineRule="exact"/>
              <w:jc w:val="center"/>
              <w:rPr>
                <w:rFonts w:hint="eastAsia" w:ascii="宋体" w:hAnsi="宋体" w:cs="宋体"/>
                <w:b/>
                <w:bCs/>
                <w:color w:val="000000"/>
                <w:kern w:val="0"/>
                <w:sz w:val="18"/>
                <w:szCs w:val="18"/>
              </w:rPr>
            </w:pPr>
            <w:bookmarkStart w:id="12" w:name="_Hlk223250060"/>
          </w:p>
        </w:tc>
        <w:tc>
          <w:tcPr>
            <w:tcW w:w="976"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955" w:type="dxa"/>
            <w:tcBorders>
              <w:bottom w:val="single" w:color="auto" w:sz="4" w:space="0"/>
            </w:tcBorders>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lang w:val="en-US" w:eastAsia="zh-CN"/>
              </w:rPr>
              <w:t>项目负责人</w:t>
            </w:r>
          </w:p>
        </w:tc>
        <w:tc>
          <w:tcPr>
            <w:tcW w:w="976" w:type="dxa"/>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lang w:val="en-US" w:eastAsia="zh-CN"/>
              </w:rPr>
              <w:t>6分</w:t>
            </w:r>
          </w:p>
        </w:tc>
        <w:tc>
          <w:tcPr>
            <w:tcW w:w="9085" w:type="dxa"/>
            <w:tcBorders>
              <w:bottom w:val="single" w:color="auto" w:sz="4" w:space="0"/>
            </w:tcBorders>
            <w:vAlign w:val="center"/>
          </w:tcPr>
          <w:p>
            <w:pPr>
              <w:widowControl/>
              <w:numPr>
                <w:ilvl w:val="0"/>
                <w:numId w:val="0"/>
              </w:numPr>
              <w:spacing w:line="240" w:lineRule="exact"/>
              <w:ind w:leftChars="0"/>
              <w:jc w:val="left"/>
              <w:rPr>
                <w:rFonts w:hint="eastAsia" w:ascii="宋体" w:hAnsi="宋体" w:cs="宋体"/>
                <w:b/>
                <w:bCs/>
                <w:color w:val="auto"/>
                <w:kern w:val="0"/>
                <w:sz w:val="18"/>
                <w:szCs w:val="18"/>
              </w:rPr>
            </w:pPr>
            <w:r>
              <w:rPr>
                <w:rFonts w:hint="eastAsia" w:ascii="宋体" w:hAnsi="宋体" w:cs="宋体"/>
                <w:b/>
                <w:bCs/>
                <w:color w:val="auto"/>
                <w:kern w:val="0"/>
                <w:sz w:val="18"/>
                <w:szCs w:val="18"/>
                <w:lang w:val="en-US" w:eastAsia="zh-CN" w:bidi="ar-SA"/>
              </w:rPr>
              <w:t>项目负责人以组长身份辅导企业申报近三届福建省政府质量奖（第六届、第七届、第八届）或厦门市质量奖（第五届、第六届、第七届）经历。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530"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976"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955" w:type="dxa"/>
            <w:tcBorders>
              <w:top w:val="single" w:color="auto" w:sz="4" w:space="0"/>
              <w:left w:val="single" w:color="auto" w:sz="4" w:space="0"/>
              <w:bottom w:val="single" w:color="auto" w:sz="4" w:space="0"/>
            </w:tcBorders>
            <w:vAlign w:val="center"/>
          </w:tcPr>
          <w:p>
            <w:pPr>
              <w:widowControl/>
              <w:spacing w:line="240" w:lineRule="exact"/>
              <w:jc w:val="center"/>
              <w:rPr>
                <w:rFonts w:hint="default" w:ascii="宋体" w:hAnsi="宋体" w:eastAsia="宋体" w:cs="宋体"/>
                <w:b/>
                <w:bCs/>
                <w:color w:val="auto"/>
                <w:kern w:val="0"/>
                <w:sz w:val="18"/>
                <w:szCs w:val="18"/>
                <w:lang w:val="en-US" w:eastAsia="zh-CN" w:bidi="ar-SA"/>
              </w:rPr>
            </w:pPr>
            <w:r>
              <w:rPr>
                <w:rFonts w:hint="default" w:ascii="宋体" w:hAnsi="宋体" w:cs="宋体"/>
                <w:b/>
                <w:bCs/>
                <w:color w:val="auto"/>
                <w:kern w:val="0"/>
                <w:sz w:val="18"/>
                <w:szCs w:val="18"/>
                <w:lang w:eastAsia="zh-CN"/>
              </w:rPr>
              <w:t>驻厂辅导时间</w:t>
            </w:r>
            <w:r>
              <w:rPr>
                <w:rFonts w:hint="eastAsia" w:ascii="宋体" w:hAnsi="宋体" w:cs="宋体"/>
                <w:b/>
                <w:bCs/>
                <w:color w:val="auto"/>
                <w:kern w:val="0"/>
                <w:sz w:val="18"/>
                <w:szCs w:val="18"/>
                <w:lang w:val="en-US" w:eastAsia="zh-CN"/>
              </w:rPr>
              <w:t>及响应速度</w:t>
            </w:r>
          </w:p>
        </w:tc>
        <w:tc>
          <w:tcPr>
            <w:tcW w:w="976" w:type="dxa"/>
            <w:vAlign w:val="center"/>
          </w:tcPr>
          <w:p>
            <w:pPr>
              <w:widowControl/>
              <w:spacing w:line="240" w:lineRule="exact"/>
              <w:jc w:val="center"/>
              <w:rPr>
                <w:rFonts w:hint="eastAsia" w:ascii="宋体" w:hAnsi="宋体" w:cs="宋体"/>
                <w:b/>
                <w:bCs/>
                <w:color w:val="auto"/>
                <w:kern w:val="0"/>
                <w:sz w:val="18"/>
                <w:szCs w:val="18"/>
                <w:lang w:val="en-US" w:eastAsia="zh-CN" w:bidi="ar-SA"/>
              </w:rPr>
            </w:pPr>
            <w:r>
              <w:rPr>
                <w:rFonts w:hint="eastAsia" w:ascii="宋体" w:hAnsi="宋体" w:cs="宋体"/>
                <w:b/>
                <w:bCs/>
                <w:color w:val="auto"/>
                <w:kern w:val="0"/>
                <w:sz w:val="18"/>
                <w:szCs w:val="18"/>
                <w:lang w:val="en-US" w:eastAsia="zh-CN" w:bidi="ar-SA"/>
              </w:rPr>
              <w:t>5分</w:t>
            </w:r>
          </w:p>
        </w:tc>
        <w:tc>
          <w:tcPr>
            <w:tcW w:w="9085" w:type="dxa"/>
            <w:tcBorders>
              <w:top w:val="single" w:color="auto" w:sz="4" w:space="0"/>
              <w:bottom w:val="single" w:color="auto" w:sz="4" w:space="0"/>
              <w:right w:val="single" w:color="auto" w:sz="4" w:space="0"/>
            </w:tcBorders>
            <w:vAlign w:val="center"/>
          </w:tcPr>
          <w:p>
            <w:pPr>
              <w:widowControl/>
              <w:numPr>
                <w:ilvl w:val="0"/>
                <w:numId w:val="0"/>
              </w:numPr>
              <w:spacing w:line="240" w:lineRule="exact"/>
              <w:ind w:left="0" w:leftChars="0" w:firstLine="0" w:firstLineChars="0"/>
              <w:jc w:val="left"/>
              <w:rPr>
                <w:rFonts w:hint="default" w:ascii="宋体" w:hAnsi="宋体" w:cs="宋体"/>
                <w:b/>
                <w:bCs/>
                <w:color w:val="auto"/>
                <w:kern w:val="0"/>
                <w:sz w:val="18"/>
                <w:szCs w:val="18"/>
                <w:lang w:val="en-US" w:eastAsia="zh-CN" w:bidi="ar-SA"/>
              </w:rPr>
            </w:pPr>
            <w:r>
              <w:rPr>
                <w:rFonts w:hint="eastAsia" w:ascii="宋体" w:hAnsi="宋体" w:cs="宋体"/>
                <w:b/>
                <w:bCs/>
                <w:color w:val="auto"/>
                <w:kern w:val="0"/>
                <w:sz w:val="18"/>
                <w:szCs w:val="18"/>
                <w:lang w:val="en-US" w:eastAsia="zh-CN"/>
              </w:rPr>
              <w:t>承诺能否提供本地化服务，并承诺每周可驻厂辅导时间（如可承诺每周可驻厂4/8/12小时...）</w:t>
            </w:r>
          </w:p>
        </w:tc>
      </w:tr>
      <w:bookmarkEnd w:id="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9" w:hRule="atLeast"/>
          <w:jc w:val="center"/>
        </w:trPr>
        <w:tc>
          <w:tcPr>
            <w:tcW w:w="530"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976"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955" w:type="dxa"/>
            <w:tcBorders>
              <w:top w:val="single" w:color="auto" w:sz="4" w:space="0"/>
              <w:left w:val="single" w:color="auto" w:sz="4" w:space="0"/>
              <w:bottom w:val="single" w:color="auto" w:sz="4" w:space="0"/>
            </w:tcBorders>
            <w:vAlign w:val="center"/>
          </w:tcPr>
          <w:p>
            <w:pPr>
              <w:widowControl/>
              <w:spacing w:line="240" w:lineRule="exact"/>
              <w:jc w:val="center"/>
              <w:rPr>
                <w:rFonts w:hint="eastAsia" w:ascii="宋体" w:hAnsi="宋体" w:eastAsia="宋体" w:cs="宋体"/>
                <w:b/>
                <w:bCs/>
                <w:color w:val="auto"/>
                <w:kern w:val="0"/>
                <w:sz w:val="18"/>
                <w:szCs w:val="18"/>
                <w:lang w:val="en-US" w:eastAsia="zh-CN" w:bidi="ar-SA"/>
              </w:rPr>
            </w:pPr>
            <w:r>
              <w:rPr>
                <w:rFonts w:hint="eastAsia" w:ascii="宋体" w:hAnsi="宋体" w:cs="宋体"/>
                <w:b/>
                <w:bCs/>
                <w:color w:val="auto"/>
                <w:kern w:val="0"/>
                <w:sz w:val="18"/>
                <w:szCs w:val="18"/>
                <w:lang w:val="en-US" w:eastAsia="zh-CN"/>
              </w:rPr>
              <w:t>到厂服务响应时间</w:t>
            </w:r>
          </w:p>
        </w:tc>
        <w:tc>
          <w:tcPr>
            <w:tcW w:w="976" w:type="dxa"/>
            <w:vAlign w:val="center"/>
          </w:tcPr>
          <w:p>
            <w:pPr>
              <w:widowControl/>
              <w:spacing w:line="240" w:lineRule="exact"/>
              <w:jc w:val="center"/>
              <w:rPr>
                <w:rFonts w:hint="eastAsia" w:ascii="宋体" w:hAnsi="宋体" w:cs="宋体"/>
                <w:b/>
                <w:bCs/>
                <w:color w:val="auto"/>
                <w:kern w:val="0"/>
                <w:sz w:val="18"/>
                <w:szCs w:val="18"/>
                <w:lang w:val="en-US" w:eastAsia="zh-CN" w:bidi="ar-SA"/>
              </w:rPr>
            </w:pPr>
            <w:r>
              <w:rPr>
                <w:rFonts w:hint="eastAsia" w:ascii="宋体" w:hAnsi="宋体" w:cs="宋体"/>
                <w:b/>
                <w:bCs/>
                <w:color w:val="auto"/>
                <w:kern w:val="0"/>
                <w:sz w:val="18"/>
                <w:szCs w:val="18"/>
                <w:lang w:val="en-US" w:eastAsia="zh-CN"/>
              </w:rPr>
              <w:t>3分</w:t>
            </w:r>
          </w:p>
        </w:tc>
        <w:tc>
          <w:tcPr>
            <w:tcW w:w="9085" w:type="dxa"/>
            <w:tcBorders>
              <w:top w:val="single" w:color="auto" w:sz="4" w:space="0"/>
              <w:bottom w:val="single" w:color="auto" w:sz="4" w:space="0"/>
              <w:right w:val="single" w:color="auto" w:sz="4" w:space="0"/>
            </w:tcBorders>
            <w:vAlign w:val="center"/>
          </w:tcPr>
          <w:p>
            <w:pPr>
              <w:widowControl/>
              <w:numPr>
                <w:ilvl w:val="0"/>
                <w:numId w:val="0"/>
              </w:numPr>
              <w:spacing w:line="240" w:lineRule="exact"/>
              <w:ind w:left="0" w:leftChars="0" w:firstLine="0" w:firstLineChars="0"/>
              <w:jc w:val="left"/>
              <w:rPr>
                <w:rFonts w:hint="default" w:ascii="宋体" w:hAnsi="宋体" w:eastAsia="宋体" w:cs="宋体"/>
                <w:b/>
                <w:bCs/>
                <w:color w:val="auto"/>
                <w:kern w:val="0"/>
                <w:sz w:val="18"/>
                <w:szCs w:val="18"/>
                <w:lang w:val="en-US" w:eastAsia="zh-CN" w:bidi="ar-SA"/>
              </w:rPr>
            </w:pPr>
            <w:r>
              <w:rPr>
                <w:rFonts w:hint="eastAsia" w:ascii="宋体" w:hAnsi="宋体" w:cs="宋体"/>
                <w:b/>
                <w:bCs/>
                <w:color w:val="000000"/>
                <w:kern w:val="0"/>
                <w:sz w:val="18"/>
                <w:szCs w:val="18"/>
                <w:lang w:val="en-US" w:eastAsia="zh-CN"/>
              </w:rPr>
              <w:t>提供承诺最快到厂服务响应时间（如可承诺最快到厂服务响应时间为4/8/12小时...）</w:t>
            </w:r>
          </w:p>
        </w:tc>
      </w:tr>
    </w:tbl>
    <w:p>
      <w:pPr>
        <w:pStyle w:val="29"/>
        <w:jc w:val="left"/>
        <w:rPr>
          <w:rFonts w:ascii="宋体" w:hAnsi="宋体" w:eastAsia="宋体" w:cs="宋体"/>
          <w:b/>
          <w:bCs w:val="0"/>
          <w:sz w:val="24"/>
          <w:szCs w:val="22"/>
        </w:rPr>
      </w:pPr>
    </w:p>
    <w:p>
      <w:pPr>
        <w:pStyle w:val="29"/>
        <w:jc w:val="left"/>
        <w:rPr>
          <w:rFonts w:ascii="宋体" w:hAnsi="宋体" w:eastAsia="宋体" w:cs="宋体"/>
          <w:b/>
          <w:bCs w:val="0"/>
          <w:sz w:val="24"/>
          <w:szCs w:val="22"/>
        </w:rPr>
      </w:pPr>
    </w:p>
    <w:p>
      <w:pPr>
        <w:pStyle w:val="29"/>
        <w:jc w:val="left"/>
        <w:rPr>
          <w:rFonts w:ascii="宋体" w:hAnsi="宋体" w:eastAsia="宋体" w:cs="宋体"/>
          <w:b/>
          <w:bCs w:val="0"/>
          <w:sz w:val="24"/>
          <w:szCs w:val="22"/>
        </w:rPr>
      </w:pPr>
      <w:r>
        <w:rPr>
          <w:rFonts w:ascii="宋体" w:hAnsi="宋体" w:eastAsia="宋体" w:cs="宋体"/>
          <w:b/>
          <w:bCs w:val="0"/>
          <w:sz w:val="24"/>
          <w:szCs w:val="22"/>
        </w:rPr>
        <w:t>表二：供应商技术T审核评审项目/评分标准</w:t>
      </w:r>
    </w:p>
    <w:tbl>
      <w:tblPr>
        <w:tblStyle w:val="13"/>
        <w:tblW w:w="13529" w:type="dxa"/>
        <w:jc w:val="center"/>
        <w:tblInd w:w="0" w:type="dxa"/>
        <w:tblLayout w:type="fixed"/>
        <w:tblCellMar>
          <w:top w:w="0" w:type="dxa"/>
          <w:left w:w="108" w:type="dxa"/>
          <w:bottom w:w="0" w:type="dxa"/>
          <w:right w:w="108" w:type="dxa"/>
        </w:tblCellMar>
      </w:tblPr>
      <w:tblGrid>
        <w:gridCol w:w="500"/>
        <w:gridCol w:w="1041"/>
        <w:gridCol w:w="1979"/>
        <w:gridCol w:w="846"/>
        <w:gridCol w:w="9163"/>
      </w:tblGrid>
      <w:tr>
        <w:tblPrEx>
          <w:tblLayout w:type="fixed"/>
          <w:tblCellMar>
            <w:top w:w="0" w:type="dxa"/>
            <w:left w:w="108" w:type="dxa"/>
            <w:bottom w:w="0" w:type="dxa"/>
            <w:right w:w="108" w:type="dxa"/>
          </w:tblCellMar>
        </w:tblPrEx>
        <w:trPr>
          <w:trHeight w:val="20" w:hRule="atLeast"/>
          <w:jc w:val="center"/>
        </w:trPr>
        <w:tc>
          <w:tcPr>
            <w:tcW w:w="500"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序</w:t>
            </w:r>
          </w:p>
        </w:tc>
        <w:tc>
          <w:tcPr>
            <w:tcW w:w="104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979"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846"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9163"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p>
        </w:tc>
      </w:tr>
      <w:tr>
        <w:tblPrEx>
          <w:tblLayout w:type="fixed"/>
          <w:tblCellMar>
            <w:top w:w="0" w:type="dxa"/>
            <w:left w:w="108" w:type="dxa"/>
            <w:bottom w:w="0" w:type="dxa"/>
            <w:right w:w="108" w:type="dxa"/>
          </w:tblCellMar>
        </w:tblPrEx>
        <w:trPr>
          <w:trHeight w:val="528" w:hRule="atLeast"/>
          <w:jc w:val="center"/>
        </w:trPr>
        <w:tc>
          <w:tcPr>
            <w:tcW w:w="500" w:type="dxa"/>
            <w:vMerge w:val="restart"/>
            <w:tcBorders>
              <w:top w:val="single" w:color="auto" w:sz="4" w:space="0"/>
              <w:left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ascii="宋体" w:hAnsi="宋体" w:cs="宋体"/>
                <w:b/>
                <w:bCs/>
                <w:color w:val="000000"/>
                <w:kern w:val="0"/>
                <w:sz w:val="18"/>
                <w:szCs w:val="18"/>
              </w:rPr>
              <w:t>2</w:t>
            </w:r>
          </w:p>
        </w:tc>
        <w:tc>
          <w:tcPr>
            <w:tcW w:w="1041" w:type="dxa"/>
            <w:vMerge w:val="restart"/>
            <w:tcBorders>
              <w:top w:val="single" w:color="auto" w:sz="4" w:space="0"/>
              <w:left w:val="single" w:color="auto" w:sz="4" w:space="0"/>
              <w:right w:val="single" w:color="auto" w:sz="4" w:space="0"/>
            </w:tcBorders>
            <w:vAlign w:val="center"/>
          </w:tcPr>
          <w:p>
            <w:pPr>
              <w:widowControl/>
              <w:wordWrap w:val="0"/>
              <w:spacing w:line="240" w:lineRule="exact"/>
              <w:jc w:val="center"/>
              <w:rPr>
                <w:rFonts w:hint="default"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技术T</w:t>
            </w:r>
          </w:p>
        </w:tc>
        <w:tc>
          <w:tcPr>
            <w:tcW w:w="19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lang w:val="en-US" w:eastAsia="zh-CN" w:bidi="ar-SA"/>
              </w:rPr>
            </w:pPr>
            <w:r>
              <w:rPr>
                <w:rFonts w:hint="eastAsia" w:ascii="宋体" w:hAnsi="宋体" w:cs="宋体"/>
                <w:b/>
                <w:bCs/>
                <w:color w:val="auto"/>
                <w:kern w:val="0"/>
                <w:sz w:val="18"/>
                <w:szCs w:val="18"/>
              </w:rPr>
              <w:t>专项辅导服务方案</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eastAsia="宋体" w:cs="宋体"/>
                <w:b/>
                <w:bCs/>
                <w:color w:val="auto"/>
                <w:kern w:val="0"/>
                <w:sz w:val="18"/>
                <w:szCs w:val="18"/>
                <w:lang w:val="en-US" w:eastAsia="zh-CN" w:bidi="ar-SA"/>
              </w:rPr>
            </w:pPr>
            <w:r>
              <w:rPr>
                <w:rFonts w:hint="eastAsia" w:ascii="宋体" w:hAnsi="宋体" w:cs="宋体"/>
                <w:b/>
                <w:bCs/>
                <w:color w:val="auto"/>
                <w:kern w:val="0"/>
                <w:sz w:val="18"/>
                <w:szCs w:val="18"/>
                <w:lang w:val="en-US" w:eastAsia="zh-CN"/>
              </w:rPr>
              <w:t>5分</w:t>
            </w:r>
          </w:p>
        </w:tc>
        <w:tc>
          <w:tcPr>
            <w:tcW w:w="9163"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wordWrap w:val="0"/>
              <w:spacing w:line="240" w:lineRule="exact"/>
              <w:ind w:leftChars="0" w:firstLine="0" w:firstLineChars="0"/>
              <w:jc w:val="left"/>
              <w:rPr>
                <w:rFonts w:hint="default" w:ascii="宋体" w:hAnsi="宋体" w:eastAsia="宋体" w:cs="宋体"/>
                <w:b/>
                <w:bCs/>
                <w:color w:val="auto"/>
                <w:kern w:val="0"/>
                <w:sz w:val="18"/>
                <w:szCs w:val="18"/>
                <w:lang w:val="en-US" w:eastAsia="zh-CN"/>
              </w:rPr>
            </w:pPr>
            <w:r>
              <w:rPr>
                <w:rFonts w:hint="eastAsia" w:ascii="宋体" w:hAnsi="宋体" w:eastAsia="宋体" w:cs="宋体"/>
                <w:b/>
                <w:bCs/>
                <w:color w:val="auto"/>
                <w:kern w:val="0"/>
                <w:sz w:val="18"/>
                <w:szCs w:val="18"/>
                <w:lang w:val="en-US" w:eastAsia="zh-CN"/>
              </w:rPr>
              <w:t>充分熟悉《厦门市质量奖管理办法》《厦门市质量奖评审规范》，结合《卓越绩效评价准则》GB/T 19580—2012、《卓越绩效评价准则实施指南》GB/Z 19579—2012，编制适配本企业实际情况的专项辅导服务方案；严格对标申报时限输出完整、细化的项目工作计划，明确各阶段工作节点。</w:t>
            </w:r>
          </w:p>
        </w:tc>
      </w:tr>
      <w:tr>
        <w:tblPrEx>
          <w:tblLayout w:type="fixed"/>
          <w:tblCellMar>
            <w:top w:w="0" w:type="dxa"/>
            <w:left w:w="108" w:type="dxa"/>
            <w:bottom w:w="0" w:type="dxa"/>
            <w:right w:w="108" w:type="dxa"/>
          </w:tblCellMar>
        </w:tblPrEx>
        <w:trPr>
          <w:trHeight w:val="528" w:hRule="atLeast"/>
          <w:jc w:val="center"/>
        </w:trPr>
        <w:tc>
          <w:tcPr>
            <w:tcW w:w="500" w:type="dxa"/>
            <w:vMerge w:val="continue"/>
            <w:tcBorders>
              <w:left w:val="single" w:color="auto" w:sz="4" w:space="0"/>
              <w:right w:val="single" w:color="auto" w:sz="4" w:space="0"/>
            </w:tcBorders>
            <w:vAlign w:val="center"/>
          </w:tcPr>
          <w:p>
            <w:pPr>
              <w:widowControl/>
              <w:wordWrap w:val="0"/>
              <w:spacing w:line="240" w:lineRule="exact"/>
              <w:jc w:val="center"/>
              <w:rPr>
                <w:rFonts w:ascii="宋体" w:hAnsi="宋体" w:cs="宋体"/>
                <w:b/>
                <w:bCs/>
                <w:color w:val="000000"/>
                <w:kern w:val="0"/>
                <w:sz w:val="18"/>
                <w:szCs w:val="18"/>
              </w:rPr>
            </w:pPr>
            <w:bookmarkStart w:id="13" w:name="_Toc217295098"/>
          </w:p>
        </w:tc>
        <w:tc>
          <w:tcPr>
            <w:tcW w:w="1041" w:type="dxa"/>
            <w:vMerge w:val="continue"/>
            <w:tcBorders>
              <w:left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lang w:val="en-US" w:eastAsia="zh-CN"/>
              </w:rPr>
            </w:pPr>
          </w:p>
        </w:tc>
        <w:tc>
          <w:tcPr>
            <w:tcW w:w="19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质量奖辅导方法论</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5分</w:t>
            </w:r>
          </w:p>
        </w:tc>
        <w:tc>
          <w:tcPr>
            <w:tcW w:w="9163" w:type="dxa"/>
            <w:tcBorders>
              <w:top w:val="single" w:color="auto" w:sz="4" w:space="0"/>
              <w:left w:val="single" w:color="auto" w:sz="4" w:space="0"/>
              <w:bottom w:val="single" w:color="auto" w:sz="4" w:space="0"/>
              <w:right w:val="single" w:color="auto" w:sz="4" w:space="0"/>
            </w:tcBorders>
            <w:vAlign w:val="center"/>
          </w:tcPr>
          <w:p>
            <w:pPr>
              <w:numPr>
                <w:ilvl w:val="0"/>
                <w:numId w:val="0"/>
              </w:numPr>
              <w:ind w:firstLine="0" w:firstLineChars="0"/>
              <w:rPr>
                <w:rFonts w:hint="eastAsia" w:ascii="宋体" w:hAnsi="宋体" w:eastAsia="宋体" w:cs="宋体"/>
                <w:b/>
                <w:bCs/>
                <w:color w:val="auto"/>
                <w:kern w:val="0"/>
                <w:sz w:val="18"/>
                <w:szCs w:val="18"/>
                <w:lang w:val="en-US" w:eastAsia="zh-CN"/>
              </w:rPr>
            </w:pPr>
            <w:r>
              <w:rPr>
                <w:rFonts w:hint="eastAsia" w:ascii="宋体" w:hAnsi="宋体" w:eastAsia="宋体" w:cs="宋体"/>
                <w:b/>
                <w:bCs/>
                <w:color w:val="auto"/>
                <w:kern w:val="0"/>
                <w:sz w:val="18"/>
                <w:szCs w:val="18"/>
                <w:lang w:val="en-US" w:eastAsia="zh-CN"/>
              </w:rPr>
              <w:t>提供机构自主的质量奖辅导方法论、标准化工具模板库（诊断清单、自评报告模板、材料打磨模板、差距分析工具等），说明工具库成熟度、版本迭代情况，提供样本材料。</w:t>
            </w:r>
          </w:p>
        </w:tc>
      </w:tr>
      <w:tr>
        <w:tblPrEx>
          <w:tblLayout w:type="fixed"/>
          <w:tblCellMar>
            <w:top w:w="0" w:type="dxa"/>
            <w:left w:w="108" w:type="dxa"/>
            <w:bottom w:w="0" w:type="dxa"/>
            <w:right w:w="108" w:type="dxa"/>
          </w:tblCellMar>
        </w:tblPrEx>
        <w:trPr>
          <w:trHeight w:val="528" w:hRule="atLeast"/>
          <w:jc w:val="center"/>
        </w:trPr>
        <w:tc>
          <w:tcPr>
            <w:tcW w:w="500" w:type="dxa"/>
            <w:vMerge w:val="continue"/>
            <w:tcBorders>
              <w:left w:val="single" w:color="auto" w:sz="4" w:space="0"/>
              <w:right w:val="single" w:color="auto" w:sz="4" w:space="0"/>
            </w:tcBorders>
            <w:vAlign w:val="center"/>
          </w:tcPr>
          <w:p>
            <w:pPr>
              <w:widowControl/>
              <w:wordWrap w:val="0"/>
              <w:spacing w:line="240" w:lineRule="exact"/>
              <w:jc w:val="center"/>
              <w:rPr>
                <w:rFonts w:ascii="宋体" w:hAnsi="宋体" w:cs="宋体"/>
                <w:b/>
                <w:bCs/>
                <w:color w:val="000000"/>
                <w:kern w:val="0"/>
                <w:sz w:val="18"/>
                <w:szCs w:val="18"/>
              </w:rPr>
            </w:pPr>
          </w:p>
        </w:tc>
        <w:tc>
          <w:tcPr>
            <w:tcW w:w="1041" w:type="dxa"/>
            <w:vMerge w:val="continue"/>
            <w:tcBorders>
              <w:left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lang w:val="en-US" w:eastAsia="zh-CN"/>
              </w:rPr>
            </w:pPr>
          </w:p>
        </w:tc>
        <w:tc>
          <w:tcPr>
            <w:tcW w:w="19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进度计划</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5分</w:t>
            </w:r>
          </w:p>
        </w:tc>
        <w:tc>
          <w:tcPr>
            <w:tcW w:w="9163"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wordWrap w:val="0"/>
              <w:ind w:firstLine="0" w:firstLineChars="0"/>
              <w:rPr>
                <w:rFonts w:hint="eastAsia" w:ascii="宋体" w:hAnsi="宋体" w:eastAsia="宋体" w:cs="宋体"/>
                <w:b/>
                <w:bCs/>
                <w:color w:val="auto"/>
                <w:kern w:val="0"/>
                <w:sz w:val="18"/>
                <w:szCs w:val="18"/>
                <w:lang w:val="en-US" w:eastAsia="zh-CN"/>
              </w:rPr>
            </w:pPr>
            <w:r>
              <w:rPr>
                <w:rFonts w:hint="eastAsia" w:ascii="宋体" w:hAnsi="宋体" w:eastAsia="宋体" w:cs="宋体"/>
                <w:b/>
                <w:bCs/>
                <w:color w:val="auto"/>
                <w:kern w:val="0"/>
                <w:sz w:val="18"/>
                <w:szCs w:val="18"/>
                <w:lang w:val="en-US" w:eastAsia="zh-CN"/>
              </w:rPr>
              <w:t>提供本项目完整实施计划，覆盖诊断调研、差距分析、自评报告编写、申报材料打磨、模拟评审、正式申报提交全流程；明确各阶段交付输出物，制定项目风险识别、管控方案以及项目延期应对保障措施。</w:t>
            </w:r>
          </w:p>
        </w:tc>
      </w:tr>
      <w:tr>
        <w:tblPrEx>
          <w:tblLayout w:type="fixed"/>
          <w:tblCellMar>
            <w:top w:w="0" w:type="dxa"/>
            <w:left w:w="108" w:type="dxa"/>
            <w:bottom w:w="0" w:type="dxa"/>
            <w:right w:w="108" w:type="dxa"/>
          </w:tblCellMar>
        </w:tblPrEx>
        <w:trPr>
          <w:trHeight w:val="528" w:hRule="atLeast"/>
          <w:jc w:val="center"/>
        </w:trPr>
        <w:tc>
          <w:tcPr>
            <w:tcW w:w="500" w:type="dxa"/>
            <w:vMerge w:val="continue"/>
            <w:tcBorders>
              <w:left w:val="single" w:color="auto" w:sz="4" w:space="0"/>
              <w:right w:val="single" w:color="auto" w:sz="4" w:space="0"/>
            </w:tcBorders>
            <w:vAlign w:val="center"/>
          </w:tcPr>
          <w:p>
            <w:pPr>
              <w:widowControl/>
              <w:wordWrap w:val="0"/>
              <w:spacing w:line="240" w:lineRule="exact"/>
              <w:jc w:val="center"/>
              <w:rPr>
                <w:rFonts w:ascii="宋体" w:hAnsi="宋体" w:cs="宋体"/>
                <w:b/>
                <w:bCs/>
                <w:color w:val="000000"/>
                <w:kern w:val="0"/>
                <w:sz w:val="18"/>
                <w:szCs w:val="18"/>
              </w:rPr>
            </w:pPr>
          </w:p>
        </w:tc>
        <w:tc>
          <w:tcPr>
            <w:tcW w:w="1041" w:type="dxa"/>
            <w:vMerge w:val="continue"/>
            <w:tcBorders>
              <w:left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lang w:val="en-US" w:eastAsia="zh-CN"/>
              </w:rPr>
            </w:pPr>
          </w:p>
        </w:tc>
        <w:tc>
          <w:tcPr>
            <w:tcW w:w="19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模拟评审实施方案</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lang w:val="en-US" w:eastAsia="zh-CN"/>
              </w:rPr>
            </w:pPr>
            <w:r>
              <w:rPr>
                <w:rFonts w:hint="eastAsia" w:ascii="宋体" w:hAnsi="宋体" w:cs="宋体"/>
                <w:b/>
                <w:bCs/>
                <w:color w:val="auto"/>
                <w:kern w:val="0"/>
                <w:sz w:val="18"/>
                <w:szCs w:val="18"/>
                <w:lang w:val="en-US" w:eastAsia="zh-CN"/>
              </w:rPr>
              <w:t>5分</w:t>
            </w:r>
          </w:p>
        </w:tc>
        <w:tc>
          <w:tcPr>
            <w:tcW w:w="9163" w:type="dxa"/>
            <w:tcBorders>
              <w:top w:val="single" w:color="auto" w:sz="4" w:space="0"/>
              <w:left w:val="single" w:color="auto" w:sz="4" w:space="0"/>
              <w:bottom w:val="single" w:color="auto" w:sz="4" w:space="0"/>
              <w:right w:val="single" w:color="auto" w:sz="4" w:space="0"/>
            </w:tcBorders>
            <w:vAlign w:val="center"/>
          </w:tcPr>
          <w:p>
            <w:pPr>
              <w:numPr>
                <w:ilvl w:val="0"/>
                <w:numId w:val="0"/>
              </w:numPr>
              <w:ind w:firstLine="0" w:firstLineChars="0"/>
              <w:rPr>
                <w:rFonts w:hint="eastAsia" w:ascii="宋体" w:hAnsi="宋体" w:eastAsia="宋体" w:cs="宋体"/>
                <w:b/>
                <w:bCs/>
                <w:color w:val="auto"/>
                <w:kern w:val="0"/>
                <w:sz w:val="18"/>
                <w:szCs w:val="18"/>
                <w:lang w:val="en-US" w:eastAsia="zh-CN"/>
              </w:rPr>
            </w:pPr>
            <w:r>
              <w:rPr>
                <w:rFonts w:hint="eastAsia" w:ascii="宋体" w:hAnsi="宋体" w:eastAsia="宋体" w:cs="宋体"/>
                <w:b/>
                <w:bCs/>
                <w:color w:val="auto"/>
                <w:kern w:val="0"/>
                <w:sz w:val="18"/>
                <w:szCs w:val="18"/>
                <w:lang w:val="en-US" w:eastAsia="zh-CN"/>
              </w:rPr>
              <w:t>提供模拟评审实施方案，说明模拟评审专家来源、评审流程、问题闭环整改机制，提供过往模拟评审报告样例。</w:t>
            </w:r>
          </w:p>
        </w:tc>
      </w:tr>
      <w:tr>
        <w:tblPrEx>
          <w:tblLayout w:type="fixed"/>
          <w:tblCellMar>
            <w:top w:w="0" w:type="dxa"/>
            <w:left w:w="108" w:type="dxa"/>
            <w:bottom w:w="0" w:type="dxa"/>
            <w:right w:w="108" w:type="dxa"/>
          </w:tblCellMar>
        </w:tblPrEx>
        <w:trPr>
          <w:trHeight w:val="528" w:hRule="atLeast"/>
          <w:jc w:val="center"/>
        </w:trPr>
        <w:tc>
          <w:tcPr>
            <w:tcW w:w="500" w:type="dxa"/>
            <w:vMerge w:val="continue"/>
            <w:tcBorders>
              <w:left w:val="single" w:color="auto" w:sz="4" w:space="0"/>
              <w:bottom w:val="single" w:color="auto" w:sz="4" w:space="0"/>
              <w:right w:val="single" w:color="auto" w:sz="4" w:space="0"/>
            </w:tcBorders>
            <w:vAlign w:val="center"/>
          </w:tcPr>
          <w:p>
            <w:pPr>
              <w:widowControl/>
              <w:wordWrap w:val="0"/>
              <w:spacing w:line="240" w:lineRule="exact"/>
              <w:jc w:val="center"/>
              <w:rPr>
                <w:rFonts w:ascii="宋体" w:hAnsi="宋体" w:cs="宋体"/>
                <w:b/>
                <w:bCs/>
                <w:color w:val="000000"/>
                <w:kern w:val="0"/>
                <w:sz w:val="18"/>
                <w:szCs w:val="18"/>
              </w:rPr>
            </w:pPr>
          </w:p>
        </w:tc>
        <w:tc>
          <w:tcPr>
            <w:tcW w:w="1041" w:type="dxa"/>
            <w:vMerge w:val="continue"/>
            <w:tcBorders>
              <w:left w:val="single" w:color="auto" w:sz="4" w:space="0"/>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lang w:val="en-US" w:eastAsia="zh-CN"/>
              </w:rPr>
            </w:pPr>
          </w:p>
        </w:tc>
        <w:tc>
          <w:tcPr>
            <w:tcW w:w="197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培训方案</w:t>
            </w:r>
          </w:p>
        </w:tc>
        <w:tc>
          <w:tcPr>
            <w:tcW w:w="8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lang w:val="en-US" w:eastAsia="zh-CN" w:bidi="ar-SA"/>
              </w:rPr>
            </w:pPr>
            <w:r>
              <w:rPr>
                <w:rFonts w:hint="eastAsia" w:ascii="宋体" w:hAnsi="宋体" w:cs="宋体"/>
                <w:b/>
                <w:bCs/>
                <w:color w:val="auto"/>
                <w:kern w:val="0"/>
                <w:sz w:val="18"/>
                <w:szCs w:val="18"/>
                <w:lang w:val="en-US" w:eastAsia="zh-CN"/>
              </w:rPr>
              <w:t>5分</w:t>
            </w:r>
          </w:p>
        </w:tc>
        <w:tc>
          <w:tcPr>
            <w:tcW w:w="9163" w:type="dxa"/>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line="240" w:lineRule="exact"/>
              <w:ind w:left="0" w:leftChars="0" w:firstLine="0" w:firstLineChars="0"/>
              <w:jc w:val="left"/>
              <w:rPr>
                <w:rFonts w:hint="eastAsia" w:ascii="宋体" w:hAnsi="宋体" w:cs="宋体"/>
                <w:b/>
                <w:bCs/>
                <w:color w:val="auto"/>
                <w:kern w:val="0"/>
                <w:sz w:val="18"/>
                <w:szCs w:val="18"/>
                <w:lang w:val="en-US" w:eastAsia="zh-CN" w:bidi="ar-SA"/>
              </w:rPr>
            </w:pPr>
            <w:r>
              <w:rPr>
                <w:rFonts w:hint="default" w:ascii="宋体" w:hAnsi="宋体" w:cs="宋体"/>
                <w:b/>
                <w:bCs/>
                <w:color w:val="auto"/>
                <w:kern w:val="0"/>
                <w:sz w:val="18"/>
                <w:szCs w:val="18"/>
                <w:lang w:eastAsia="zh-CN"/>
              </w:rPr>
              <w:t>提供</w:t>
            </w:r>
            <w:r>
              <w:rPr>
                <w:rFonts w:hint="eastAsia" w:ascii="宋体" w:hAnsi="宋体" w:cs="宋体"/>
                <w:b/>
                <w:bCs/>
                <w:color w:val="auto"/>
                <w:kern w:val="0"/>
                <w:sz w:val="18"/>
                <w:szCs w:val="18"/>
                <w:lang w:val="en-US" w:eastAsia="zh-CN"/>
              </w:rPr>
              <w:t>详细</w:t>
            </w:r>
            <w:r>
              <w:rPr>
                <w:rFonts w:hint="default" w:ascii="宋体" w:hAnsi="宋体" w:cs="宋体"/>
                <w:b/>
                <w:bCs/>
                <w:color w:val="auto"/>
                <w:kern w:val="0"/>
                <w:sz w:val="18"/>
                <w:szCs w:val="18"/>
                <w:lang w:val="en-US" w:eastAsia="zh-CN"/>
              </w:rPr>
              <w:t>培训方案</w:t>
            </w:r>
            <w:r>
              <w:rPr>
                <w:rFonts w:hint="eastAsia" w:ascii="宋体" w:hAnsi="宋体" w:cs="宋体"/>
                <w:b/>
                <w:bCs/>
                <w:color w:val="auto"/>
                <w:kern w:val="0"/>
                <w:sz w:val="18"/>
                <w:szCs w:val="18"/>
                <w:lang w:val="en-US" w:eastAsia="zh-CN"/>
              </w:rPr>
              <w:t>，包含</w:t>
            </w:r>
            <w:r>
              <w:rPr>
                <w:rFonts w:hint="default" w:ascii="宋体" w:hAnsi="宋体" w:cs="宋体"/>
                <w:b/>
                <w:bCs/>
                <w:color w:val="auto"/>
                <w:kern w:val="0"/>
                <w:sz w:val="18"/>
                <w:szCs w:val="18"/>
                <w:lang w:eastAsia="zh-CN"/>
              </w:rPr>
              <w:t>培训时间/内容。</w:t>
            </w:r>
          </w:p>
        </w:tc>
      </w:tr>
    </w:tbl>
    <w:p>
      <w:pPr>
        <w:pStyle w:val="29"/>
        <w:widowControl/>
        <w:jc w:val="left"/>
        <w:rPr>
          <w:rFonts w:ascii="宋体" w:hAnsi="宋体" w:eastAsia="宋体" w:cs="宋体"/>
          <w:b/>
          <w:bCs w:val="0"/>
          <w:sz w:val="24"/>
          <w:szCs w:val="22"/>
        </w:rPr>
      </w:pPr>
    </w:p>
    <w:p>
      <w:pPr>
        <w:pStyle w:val="29"/>
        <w:widowControl/>
        <w:jc w:val="left"/>
        <w:rPr>
          <w:rFonts w:ascii="宋体" w:hAnsi="宋体" w:eastAsia="宋体" w:cs="宋体"/>
          <w:b/>
          <w:bCs w:val="0"/>
          <w:sz w:val="24"/>
          <w:szCs w:val="22"/>
        </w:rPr>
      </w:pPr>
    </w:p>
    <w:p>
      <w:pPr>
        <w:pStyle w:val="29"/>
        <w:widowControl/>
        <w:jc w:val="left"/>
        <w:rPr>
          <w:rFonts w:ascii="宋体" w:hAnsi="宋体" w:eastAsia="宋体" w:cs="宋体"/>
          <w:b/>
          <w:bCs w:val="0"/>
          <w:sz w:val="24"/>
          <w:szCs w:val="22"/>
        </w:rPr>
      </w:pPr>
    </w:p>
    <w:p>
      <w:pPr>
        <w:pStyle w:val="29"/>
        <w:widowControl/>
        <w:jc w:val="left"/>
        <w:rPr>
          <w:rFonts w:ascii="宋体" w:hAnsi="宋体" w:eastAsia="宋体" w:cs="宋体"/>
          <w:b/>
          <w:bCs w:val="0"/>
          <w:sz w:val="24"/>
          <w:szCs w:val="22"/>
        </w:rPr>
      </w:pPr>
      <w:r>
        <w:rPr>
          <w:rFonts w:ascii="宋体" w:hAnsi="宋体" w:eastAsia="宋体" w:cs="宋体"/>
          <w:b/>
          <w:bCs w:val="0"/>
          <w:sz w:val="24"/>
          <w:szCs w:val="22"/>
        </w:rPr>
        <w:t>表三：供应商价格C评审项目/评分标准</w:t>
      </w:r>
      <w:bookmarkEnd w:id="13"/>
    </w:p>
    <w:tbl>
      <w:tblPr>
        <w:tblStyle w:val="13"/>
        <w:tblW w:w="13862" w:type="dxa"/>
        <w:jc w:val="center"/>
        <w:tblInd w:w="0" w:type="dxa"/>
        <w:tblLayout w:type="fixed"/>
        <w:tblCellMar>
          <w:top w:w="0" w:type="dxa"/>
          <w:left w:w="108" w:type="dxa"/>
          <w:bottom w:w="0" w:type="dxa"/>
          <w:right w:w="108" w:type="dxa"/>
        </w:tblCellMar>
      </w:tblPr>
      <w:tblGrid>
        <w:gridCol w:w="549"/>
        <w:gridCol w:w="1006"/>
        <w:gridCol w:w="1984"/>
        <w:gridCol w:w="851"/>
        <w:gridCol w:w="5386"/>
        <w:gridCol w:w="4086"/>
      </w:tblGrid>
      <w:tr>
        <w:tblPrEx>
          <w:tblLayout w:type="fixed"/>
          <w:tblCellMar>
            <w:top w:w="0" w:type="dxa"/>
            <w:left w:w="108" w:type="dxa"/>
            <w:bottom w:w="0" w:type="dxa"/>
            <w:right w:w="108" w:type="dxa"/>
          </w:tblCellMar>
        </w:tblPrEx>
        <w:trPr>
          <w:trHeight w:val="20" w:hRule="atLeast"/>
          <w:jc w:val="center"/>
        </w:trPr>
        <w:tc>
          <w:tcPr>
            <w:tcW w:w="549"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ascii="宋体" w:hAnsi="宋体" w:cs="宋体"/>
                <w:b/>
                <w:bCs/>
                <w:color w:val="000000"/>
                <w:kern w:val="0"/>
                <w:sz w:val="18"/>
                <w:szCs w:val="18"/>
              </w:rPr>
            </w:pPr>
            <w:r>
              <w:rPr>
                <w:rFonts w:hint="eastAsia" w:ascii="宋体" w:hAnsi="宋体" w:cs="宋体"/>
                <w:b/>
                <w:bCs/>
                <w:color w:val="000000"/>
                <w:kern w:val="0"/>
                <w:sz w:val="18"/>
                <w:szCs w:val="18"/>
              </w:rPr>
              <w:t>序</w:t>
            </w:r>
          </w:p>
        </w:tc>
        <w:tc>
          <w:tcPr>
            <w:tcW w:w="100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198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851"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5386" w:type="dxa"/>
            <w:tcBorders>
              <w:top w:val="single" w:color="auto" w:sz="4" w:space="0"/>
              <w:left w:val="nil"/>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FF"/>
                <w:kern w:val="0"/>
                <w:sz w:val="18"/>
                <w:szCs w:val="18"/>
              </w:rPr>
            </w:pPr>
            <w:r>
              <w:rPr>
                <w:rFonts w:hint="eastAsia" w:ascii="宋体" w:hAnsi="宋体" w:cs="宋体"/>
                <w:b/>
                <w:bCs/>
                <w:color w:val="000000"/>
                <w:kern w:val="0"/>
                <w:sz w:val="18"/>
                <w:szCs w:val="18"/>
              </w:rPr>
              <w:t>评审标准</w:t>
            </w:r>
          </w:p>
        </w:tc>
        <w:tc>
          <w:tcPr>
            <w:tcW w:w="4086"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说明</w:t>
            </w:r>
          </w:p>
        </w:tc>
      </w:tr>
      <w:tr>
        <w:tblPrEx>
          <w:tblLayout w:type="fixed"/>
          <w:tblCellMar>
            <w:top w:w="0" w:type="dxa"/>
            <w:left w:w="108" w:type="dxa"/>
            <w:bottom w:w="0" w:type="dxa"/>
            <w:right w:w="108" w:type="dxa"/>
          </w:tblCellMar>
        </w:tblPrEx>
        <w:trPr>
          <w:trHeight w:val="20" w:hRule="atLeast"/>
          <w:jc w:val="center"/>
        </w:trPr>
        <w:tc>
          <w:tcPr>
            <w:tcW w:w="54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14" w:name="_Hlk216870764"/>
            <w:r>
              <w:rPr>
                <w:rFonts w:ascii="宋体" w:hAnsi="宋体" w:cs="宋体"/>
                <w:b/>
                <w:bCs/>
                <w:color w:val="000000"/>
                <w:kern w:val="0"/>
                <w:sz w:val="18"/>
                <w:szCs w:val="18"/>
              </w:rPr>
              <w:t>3</w:t>
            </w:r>
          </w:p>
        </w:tc>
        <w:tc>
          <w:tcPr>
            <w:tcW w:w="100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价格C</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auto"/>
                <w:kern w:val="0"/>
                <w:sz w:val="18"/>
                <w:szCs w:val="18"/>
              </w:rPr>
            </w:pPr>
            <w:r>
              <w:rPr>
                <w:rFonts w:hint="eastAsia" w:ascii="宋体" w:hAnsi="宋体" w:cs="宋体"/>
                <w:b/>
                <w:bCs/>
                <w:color w:val="auto"/>
                <w:kern w:val="0"/>
                <w:sz w:val="18"/>
                <w:szCs w:val="18"/>
              </w:rPr>
              <w:t>服务价格</w:t>
            </w:r>
          </w:p>
        </w:tc>
        <w:tc>
          <w:tcPr>
            <w:tcW w:w="851"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auto"/>
                <w:kern w:val="0"/>
                <w:sz w:val="18"/>
                <w:szCs w:val="18"/>
              </w:rPr>
            </w:pPr>
            <w:r>
              <w:rPr>
                <w:rFonts w:hint="eastAsia" w:ascii="宋体" w:hAnsi="宋体" w:cs="宋体"/>
                <w:b/>
                <w:bCs/>
                <w:color w:val="auto"/>
                <w:kern w:val="0"/>
                <w:sz w:val="18"/>
                <w:szCs w:val="18"/>
                <w:lang w:val="en-US" w:eastAsia="zh-CN"/>
              </w:rPr>
              <w:t>30</w:t>
            </w:r>
            <w:r>
              <w:rPr>
                <w:rFonts w:hint="eastAsia" w:ascii="宋体" w:hAnsi="宋体" w:cs="宋体"/>
                <w:b/>
                <w:bCs/>
                <w:color w:val="auto"/>
                <w:kern w:val="0"/>
                <w:sz w:val="18"/>
                <w:szCs w:val="18"/>
              </w:rPr>
              <w:t>分</w:t>
            </w:r>
          </w:p>
        </w:tc>
        <w:tc>
          <w:tcPr>
            <w:tcW w:w="5386" w:type="dxa"/>
            <w:tcBorders>
              <w:top w:val="single" w:color="auto" w:sz="4" w:space="0"/>
              <w:left w:val="single" w:color="auto" w:sz="4" w:space="0"/>
              <w:bottom w:val="single" w:color="auto" w:sz="4" w:space="0"/>
              <w:right w:val="single" w:color="auto" w:sz="4" w:space="0"/>
            </w:tcBorders>
            <w:vAlign w:val="center"/>
          </w:tcPr>
          <w:p>
            <w:pPr>
              <w:widowControl/>
              <w:wordWrap w:val="0"/>
              <w:spacing w:line="240" w:lineRule="exact"/>
              <w:jc w:val="left"/>
              <w:rPr>
                <w:rFonts w:hint="eastAsia" w:ascii="宋体" w:hAnsi="宋体" w:cs="宋体"/>
                <w:b/>
                <w:bCs/>
                <w:color w:val="auto"/>
                <w:kern w:val="0"/>
                <w:sz w:val="18"/>
                <w:szCs w:val="18"/>
              </w:rPr>
            </w:pPr>
            <w:r>
              <w:rPr>
                <w:rFonts w:hint="eastAsia" w:ascii="宋体" w:hAnsi="宋体" w:cs="宋体"/>
                <w:b/>
                <w:bCs/>
                <w:color w:val="auto"/>
                <w:kern w:val="0"/>
                <w:sz w:val="18"/>
                <w:szCs w:val="18"/>
              </w:rPr>
              <w:t>比值法：满足招标文件要求且投标价格最低的投标报价作为评标基准价，其价格分为满分，投标报价得分=（评标基准价/投标报价）*价格满分</w:t>
            </w:r>
          </w:p>
        </w:tc>
        <w:tc>
          <w:tcPr>
            <w:tcW w:w="40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投标报价一览表所涉及的项目总价（</w:t>
            </w:r>
            <w:bookmarkStart w:id="15" w:name="_GoBack"/>
            <w:bookmarkEnd w:id="15"/>
            <w:r>
              <w:rPr>
                <w:rFonts w:hint="eastAsia" w:ascii="宋体" w:hAnsi="宋体" w:cs="宋体"/>
                <w:b/>
                <w:bCs/>
                <w:color w:val="0000FF"/>
                <w:kern w:val="0"/>
                <w:sz w:val="18"/>
                <w:szCs w:val="18"/>
              </w:rPr>
              <w:t>含税</w:t>
            </w:r>
            <w:r>
              <w:rPr>
                <w:rFonts w:hint="eastAsia" w:ascii="宋体" w:hAnsi="宋体" w:cs="宋体"/>
                <w:b/>
                <w:bCs/>
                <w:color w:val="000000"/>
                <w:kern w:val="0"/>
                <w:sz w:val="18"/>
                <w:szCs w:val="18"/>
              </w:rPr>
              <w:t>）</w:t>
            </w:r>
          </w:p>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各分项报价保留小数点后2位有效数字</w:t>
            </w:r>
          </w:p>
          <w:bookmarkEnd w:id="14"/>
        </w:tc>
      </w:tr>
      <w:bookmarkEnd w:id="10"/>
    </w:tbl>
    <w:p>
      <w:pPr>
        <w:rPr>
          <w:rFonts w:hint="eastAsia" w:ascii="等线" w:hAnsi="等线" w:eastAsia="等线"/>
          <w:b/>
          <w:bCs/>
          <w:sz w:val="18"/>
          <w:szCs w:val="18"/>
        </w:rPr>
      </w:pPr>
    </w:p>
    <w:sectPr>
      <w:pgSz w:w="16838" w:h="11906" w:orient="landscape"/>
      <w:pgMar w:top="1134" w:right="1304" w:bottom="851" w:left="124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20"/>
    <w:multiLevelType w:val="multilevel"/>
    <w:tmpl w:val="04950320"/>
    <w:lvl w:ilvl="0" w:tentative="0">
      <w:start w:val="1"/>
      <w:numFmt w:val="chineseCountingThousand"/>
      <w:suff w:val="space"/>
      <w:lvlText w:val="%1、"/>
      <w:lvlJc w:val="left"/>
      <w:pPr>
        <w:ind w:left="440" w:hanging="440"/>
      </w:pPr>
      <w:rPr>
        <w:rFonts w:hint="eastAsia"/>
        <w:b/>
        <w:bCs w:val="0"/>
        <w:color w:val="auto"/>
      </w:rPr>
    </w:lvl>
    <w:lvl w:ilvl="1" w:tentative="0">
      <w:start w:val="1"/>
      <w:numFmt w:val="decimal"/>
      <w:suff w:val="space"/>
      <w:lvlText w:val="%2、"/>
      <w:lvlJc w:val="left"/>
      <w:pPr>
        <w:ind w:left="360" w:hanging="360"/>
      </w:pPr>
      <w:rPr>
        <w:rFonts w:hint="default"/>
        <w:color w:val="auto"/>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D006CB9"/>
    <w:multiLevelType w:val="multilevel"/>
    <w:tmpl w:val="0D006CB9"/>
    <w:lvl w:ilvl="0" w:tentative="0">
      <w:start w:val="1"/>
      <w:numFmt w:val="chineseCountingThousand"/>
      <w:suff w:val="space"/>
      <w:lvlText w:val="(%1)"/>
      <w:lvlJc w:val="left"/>
      <w:pPr>
        <w:ind w:left="0" w:firstLine="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072F7D"/>
    <w:multiLevelType w:val="multilevel"/>
    <w:tmpl w:val="22072F7D"/>
    <w:lvl w:ilvl="0" w:tentative="0">
      <w:start w:val="1"/>
      <w:numFmt w:val="decimal"/>
      <w:suff w:val="space"/>
      <w:lvlText w:val="%1、"/>
      <w:lvlJc w:val="left"/>
      <w:pPr>
        <w:ind w:left="357" w:hanging="357"/>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1265CC4"/>
    <w:multiLevelType w:val="multilevel"/>
    <w:tmpl w:val="51265CC4"/>
    <w:lvl w:ilvl="0" w:tentative="0">
      <w:start w:val="1"/>
      <w:numFmt w:val="decimal"/>
      <w:suff w:val="space"/>
      <w:lvlText w:val="%1、"/>
      <w:lvlJc w:val="left"/>
      <w:pPr>
        <w:ind w:left="360" w:hanging="360"/>
      </w:pPr>
      <w:rPr>
        <w:rFonts w:hint="default"/>
      </w:rPr>
    </w:lvl>
    <w:lvl w:ilvl="1" w:tentative="0">
      <w:start w:val="1"/>
      <w:numFmt w:val="decimal"/>
      <w:suff w:val="space"/>
      <w:lvlText w:val="%2、"/>
      <w:lvlJc w:val="left"/>
      <w:pPr>
        <w:ind w:left="357" w:hanging="357"/>
      </w:pPr>
      <w:rPr>
        <w:rFonts w:hint="default"/>
      </w:rPr>
    </w:lvl>
    <w:lvl w:ilvl="2" w:tentative="0">
      <w:start w:val="1"/>
      <w:numFmt w:val="decimal"/>
      <w:lvlText w:val="%3"/>
      <w:lvlJc w:val="left"/>
      <w:pPr>
        <w:ind w:left="0" w:firstLine="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D64"/>
    <w:rsid w:val="00052384"/>
    <w:rsid w:val="00055004"/>
    <w:rsid w:val="0005690C"/>
    <w:rsid w:val="0006225D"/>
    <w:rsid w:val="00086BF8"/>
    <w:rsid w:val="0009445B"/>
    <w:rsid w:val="000A2ABB"/>
    <w:rsid w:val="000B0B65"/>
    <w:rsid w:val="000B2A32"/>
    <w:rsid w:val="000C3DB0"/>
    <w:rsid w:val="000D3FB3"/>
    <w:rsid w:val="000E6041"/>
    <w:rsid w:val="000F4A51"/>
    <w:rsid w:val="000F5427"/>
    <w:rsid w:val="00105477"/>
    <w:rsid w:val="001132DF"/>
    <w:rsid w:val="00142E42"/>
    <w:rsid w:val="00143264"/>
    <w:rsid w:val="00161C70"/>
    <w:rsid w:val="00172A27"/>
    <w:rsid w:val="00196C64"/>
    <w:rsid w:val="001C34FE"/>
    <w:rsid w:val="001D336D"/>
    <w:rsid w:val="001D6087"/>
    <w:rsid w:val="001E00C0"/>
    <w:rsid w:val="00200525"/>
    <w:rsid w:val="002134F3"/>
    <w:rsid w:val="00214B8E"/>
    <w:rsid w:val="00223A26"/>
    <w:rsid w:val="00223B7B"/>
    <w:rsid w:val="00230B74"/>
    <w:rsid w:val="002442EE"/>
    <w:rsid w:val="00275DE6"/>
    <w:rsid w:val="002C4FA0"/>
    <w:rsid w:val="002E74D2"/>
    <w:rsid w:val="002F4E44"/>
    <w:rsid w:val="003148B5"/>
    <w:rsid w:val="00321756"/>
    <w:rsid w:val="003536BD"/>
    <w:rsid w:val="00365639"/>
    <w:rsid w:val="00382ADE"/>
    <w:rsid w:val="003855FD"/>
    <w:rsid w:val="00385C1C"/>
    <w:rsid w:val="00393AF6"/>
    <w:rsid w:val="003E1717"/>
    <w:rsid w:val="0042263E"/>
    <w:rsid w:val="004226BD"/>
    <w:rsid w:val="004369AD"/>
    <w:rsid w:val="004622C9"/>
    <w:rsid w:val="004647BB"/>
    <w:rsid w:val="00464AFF"/>
    <w:rsid w:val="004A5A99"/>
    <w:rsid w:val="004D34D3"/>
    <w:rsid w:val="0051567C"/>
    <w:rsid w:val="00517577"/>
    <w:rsid w:val="00520ABA"/>
    <w:rsid w:val="005529F3"/>
    <w:rsid w:val="00560705"/>
    <w:rsid w:val="00577294"/>
    <w:rsid w:val="005A3146"/>
    <w:rsid w:val="005A590D"/>
    <w:rsid w:val="005C3CA5"/>
    <w:rsid w:val="005C6EAE"/>
    <w:rsid w:val="005E5FA8"/>
    <w:rsid w:val="005F54F8"/>
    <w:rsid w:val="00617A00"/>
    <w:rsid w:val="00627020"/>
    <w:rsid w:val="00654F9A"/>
    <w:rsid w:val="00654FEB"/>
    <w:rsid w:val="00661D39"/>
    <w:rsid w:val="006943B1"/>
    <w:rsid w:val="006958A2"/>
    <w:rsid w:val="006A250F"/>
    <w:rsid w:val="006B6A7B"/>
    <w:rsid w:val="006F7293"/>
    <w:rsid w:val="00703983"/>
    <w:rsid w:val="00723765"/>
    <w:rsid w:val="007242A9"/>
    <w:rsid w:val="00724CE0"/>
    <w:rsid w:val="007344EA"/>
    <w:rsid w:val="00746192"/>
    <w:rsid w:val="00770154"/>
    <w:rsid w:val="00773E90"/>
    <w:rsid w:val="007A1BA8"/>
    <w:rsid w:val="007A32BB"/>
    <w:rsid w:val="007A7EBB"/>
    <w:rsid w:val="007B5EAE"/>
    <w:rsid w:val="007E72ED"/>
    <w:rsid w:val="007F7DC7"/>
    <w:rsid w:val="00837E10"/>
    <w:rsid w:val="008450B7"/>
    <w:rsid w:val="00852DB8"/>
    <w:rsid w:val="00862DA9"/>
    <w:rsid w:val="00871A69"/>
    <w:rsid w:val="00892C81"/>
    <w:rsid w:val="009051D8"/>
    <w:rsid w:val="00935728"/>
    <w:rsid w:val="00956A02"/>
    <w:rsid w:val="0098516E"/>
    <w:rsid w:val="00985317"/>
    <w:rsid w:val="009A5EB9"/>
    <w:rsid w:val="009B0972"/>
    <w:rsid w:val="009B742A"/>
    <w:rsid w:val="009C48CE"/>
    <w:rsid w:val="009F1404"/>
    <w:rsid w:val="00A23D2B"/>
    <w:rsid w:val="00A646A2"/>
    <w:rsid w:val="00A67251"/>
    <w:rsid w:val="00A953E3"/>
    <w:rsid w:val="00AB2F20"/>
    <w:rsid w:val="00AD7822"/>
    <w:rsid w:val="00B06412"/>
    <w:rsid w:val="00B55276"/>
    <w:rsid w:val="00B737BA"/>
    <w:rsid w:val="00BA3827"/>
    <w:rsid w:val="00BB16E0"/>
    <w:rsid w:val="00BB45F0"/>
    <w:rsid w:val="00BE1AA5"/>
    <w:rsid w:val="00BF6E8D"/>
    <w:rsid w:val="00C17EF4"/>
    <w:rsid w:val="00C26D29"/>
    <w:rsid w:val="00C3109C"/>
    <w:rsid w:val="00C31999"/>
    <w:rsid w:val="00C3537D"/>
    <w:rsid w:val="00C41956"/>
    <w:rsid w:val="00C57249"/>
    <w:rsid w:val="00CA2B21"/>
    <w:rsid w:val="00CB25DB"/>
    <w:rsid w:val="00CB5CB7"/>
    <w:rsid w:val="00CC409F"/>
    <w:rsid w:val="00CF7EB6"/>
    <w:rsid w:val="00D02256"/>
    <w:rsid w:val="00D1191E"/>
    <w:rsid w:val="00D34B45"/>
    <w:rsid w:val="00D3603E"/>
    <w:rsid w:val="00D36837"/>
    <w:rsid w:val="00D43C43"/>
    <w:rsid w:val="00D44D39"/>
    <w:rsid w:val="00D52215"/>
    <w:rsid w:val="00D54667"/>
    <w:rsid w:val="00D55399"/>
    <w:rsid w:val="00D60116"/>
    <w:rsid w:val="00D973F5"/>
    <w:rsid w:val="00DB2073"/>
    <w:rsid w:val="00DE75AF"/>
    <w:rsid w:val="00E425AA"/>
    <w:rsid w:val="00E44D16"/>
    <w:rsid w:val="00E91FEB"/>
    <w:rsid w:val="00EA09AD"/>
    <w:rsid w:val="00EA4FE3"/>
    <w:rsid w:val="00EB1A34"/>
    <w:rsid w:val="00EE06F4"/>
    <w:rsid w:val="00EE3E81"/>
    <w:rsid w:val="00F0184F"/>
    <w:rsid w:val="00F01F45"/>
    <w:rsid w:val="00F26B3B"/>
    <w:rsid w:val="00F30C33"/>
    <w:rsid w:val="00F467AD"/>
    <w:rsid w:val="00F66A1B"/>
    <w:rsid w:val="00F8763E"/>
    <w:rsid w:val="00F9656E"/>
    <w:rsid w:val="00FA6120"/>
    <w:rsid w:val="00FB031B"/>
    <w:rsid w:val="00FB1B5D"/>
    <w:rsid w:val="00FB1D21"/>
    <w:rsid w:val="00FB60F2"/>
    <w:rsid w:val="00FC0368"/>
    <w:rsid w:val="01CD4980"/>
    <w:rsid w:val="022551BE"/>
    <w:rsid w:val="02BF0A2C"/>
    <w:rsid w:val="1EA82ACB"/>
    <w:rsid w:val="28D64C70"/>
    <w:rsid w:val="2A9A6A3F"/>
    <w:rsid w:val="2C9C69E0"/>
    <w:rsid w:val="2CE360C1"/>
    <w:rsid w:val="308560FA"/>
    <w:rsid w:val="40394773"/>
    <w:rsid w:val="41D71A1E"/>
    <w:rsid w:val="457E3F7A"/>
    <w:rsid w:val="464A4625"/>
    <w:rsid w:val="482960B1"/>
    <w:rsid w:val="51302F23"/>
    <w:rsid w:val="5B606120"/>
    <w:rsid w:val="63E83C53"/>
    <w:rsid w:val="643C6F6D"/>
    <w:rsid w:val="6522364E"/>
    <w:rsid w:val="66CA10FA"/>
    <w:rsid w:val="681475F9"/>
    <w:rsid w:val="69DC5C4C"/>
    <w:rsid w:val="6BA73DCD"/>
    <w:rsid w:val="6E351B8D"/>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9"/>
    <w:pPr>
      <w:keepNext/>
      <w:keepLines/>
      <w:spacing w:before="260" w:after="260"/>
      <w:jc w:val="center"/>
      <w:outlineLvl w:val="2"/>
    </w:pPr>
    <w:rPr>
      <w:rFonts w:ascii="Times New Roman" w:hAnsi="Times New Roman"/>
      <w:b/>
      <w:sz w:val="32"/>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3">
    <w:name w:val="annotation subject"/>
    <w:basedOn w:val="4"/>
    <w:next w:val="4"/>
    <w:link w:val="22"/>
    <w:qFormat/>
    <w:uiPriority w:val="0"/>
    <w:rPr>
      <w:b/>
      <w:bCs/>
    </w:rPr>
  </w:style>
  <w:style w:type="paragraph" w:styleId="4">
    <w:name w:val="annotation text"/>
    <w:basedOn w:val="1"/>
    <w:link w:val="21"/>
    <w:qFormat/>
    <w:uiPriority w:val="0"/>
    <w:pPr>
      <w:jc w:val="left"/>
    </w:pPr>
  </w:style>
  <w:style w:type="paragraph" w:styleId="5">
    <w:name w:val="Body Text"/>
    <w:basedOn w:val="1"/>
    <w:unhideWhenUsed/>
    <w:qFormat/>
    <w:uiPriority w:val="99"/>
    <w:pPr>
      <w:spacing w:line="380" w:lineRule="exact"/>
    </w:pPr>
    <w:rPr>
      <w:rFonts w:ascii="Times New Roman" w:hAnsi="Times New Roman"/>
      <w:sz w:val="24"/>
    </w:rPr>
  </w:style>
  <w:style w:type="paragraph" w:styleId="6">
    <w:name w:val="Balloon Text"/>
    <w:basedOn w:val="1"/>
    <w:link w:val="26"/>
    <w:qFormat/>
    <w:uiPriority w:val="0"/>
    <w:rPr>
      <w:sz w:val="18"/>
      <w:szCs w:val="18"/>
    </w:rPr>
  </w:style>
  <w:style w:type="paragraph" w:styleId="7">
    <w:name w:val="footer"/>
    <w:basedOn w:val="1"/>
    <w:link w:val="24"/>
    <w:qFormat/>
    <w:uiPriority w:val="0"/>
    <w:pPr>
      <w:tabs>
        <w:tab w:val="center" w:pos="4153"/>
        <w:tab w:val="right" w:pos="8306"/>
      </w:tabs>
      <w:snapToGrid w:val="0"/>
      <w:jc w:val="left"/>
    </w:pPr>
    <w:rPr>
      <w:sz w:val="18"/>
      <w:szCs w:val="18"/>
    </w:rPr>
  </w:style>
  <w:style w:type="paragraph" w:styleId="8">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paragraph" w:styleId="14">
    <w:name w:val="List Paragraph"/>
    <w:basedOn w:val="1"/>
    <w:qFormat/>
    <w:uiPriority w:val="34"/>
    <w:pPr>
      <w:ind w:firstLine="420" w:firstLineChars="200"/>
    </w:pPr>
    <w:rPr>
      <w:rFonts w:ascii="Times New Roman" w:hAnsi="Times New Roman"/>
      <w:sz w:val="24"/>
      <w:szCs w:val="24"/>
    </w:rPr>
  </w:style>
  <w:style w:type="character" w:customStyle="1" w:styleId="15">
    <w:name w:val="font71"/>
    <w:basedOn w:val="10"/>
    <w:qFormat/>
    <w:uiPriority w:val="0"/>
    <w:rPr>
      <w:rFonts w:hint="eastAsia" w:ascii="宋体" w:hAnsi="宋体" w:eastAsia="宋体" w:cs="宋体"/>
      <w:color w:val="000000"/>
      <w:sz w:val="20"/>
      <w:szCs w:val="20"/>
      <w:u w:val="none"/>
    </w:rPr>
  </w:style>
  <w:style w:type="character" w:customStyle="1" w:styleId="16">
    <w:name w:val="font101"/>
    <w:basedOn w:val="10"/>
    <w:qFormat/>
    <w:uiPriority w:val="0"/>
    <w:rPr>
      <w:rFonts w:hint="eastAsia" w:ascii="宋体" w:hAnsi="宋体" w:eastAsia="宋体" w:cs="宋体"/>
      <w:color w:val="auto"/>
      <w:sz w:val="20"/>
      <w:szCs w:val="20"/>
      <w:u w:val="none"/>
    </w:rPr>
  </w:style>
  <w:style w:type="character" w:customStyle="1" w:styleId="17">
    <w:name w:val="font61"/>
    <w:basedOn w:val="10"/>
    <w:qFormat/>
    <w:uiPriority w:val="0"/>
    <w:rPr>
      <w:rFonts w:hint="eastAsia" w:ascii="宋体" w:hAnsi="宋体" w:eastAsia="宋体" w:cs="宋体"/>
      <w:color w:val="000000"/>
      <w:sz w:val="20"/>
      <w:szCs w:val="20"/>
      <w:u w:val="none"/>
    </w:rPr>
  </w:style>
  <w:style w:type="character" w:customStyle="1" w:styleId="18">
    <w:name w:val="font81"/>
    <w:basedOn w:val="10"/>
    <w:qFormat/>
    <w:uiPriority w:val="0"/>
    <w:rPr>
      <w:rFonts w:hint="eastAsia" w:ascii="宋体" w:hAnsi="宋体" w:eastAsia="宋体" w:cs="宋体"/>
      <w:b/>
      <w:color w:val="1F497D"/>
      <w:sz w:val="20"/>
      <w:szCs w:val="20"/>
      <w:u w:val="none"/>
    </w:rPr>
  </w:style>
  <w:style w:type="character" w:customStyle="1" w:styleId="19">
    <w:name w:val="font91"/>
    <w:basedOn w:val="10"/>
    <w:qFormat/>
    <w:uiPriority w:val="0"/>
    <w:rPr>
      <w:rFonts w:hint="eastAsia" w:ascii="宋体" w:hAnsi="宋体" w:eastAsia="宋体" w:cs="宋体"/>
      <w:b/>
      <w:color w:val="FF0000"/>
      <w:sz w:val="20"/>
      <w:szCs w:val="20"/>
      <w:u w:val="none"/>
    </w:rPr>
  </w:style>
  <w:style w:type="character" w:customStyle="1" w:styleId="20">
    <w:name w:val="font51"/>
    <w:basedOn w:val="10"/>
    <w:qFormat/>
    <w:uiPriority w:val="0"/>
    <w:rPr>
      <w:rFonts w:hint="eastAsia" w:ascii="宋体" w:hAnsi="宋体" w:eastAsia="宋体" w:cs="宋体"/>
      <w:color w:val="000000"/>
      <w:sz w:val="20"/>
      <w:szCs w:val="20"/>
      <w:u w:val="none"/>
    </w:rPr>
  </w:style>
  <w:style w:type="character" w:customStyle="1" w:styleId="21">
    <w:name w:val="批注文字 字符"/>
    <w:basedOn w:val="10"/>
    <w:link w:val="4"/>
    <w:qFormat/>
    <w:uiPriority w:val="0"/>
    <w:rPr>
      <w:rFonts w:ascii="Calibri" w:hAnsi="Calibri"/>
      <w:kern w:val="2"/>
      <w:sz w:val="21"/>
      <w:szCs w:val="22"/>
    </w:rPr>
  </w:style>
  <w:style w:type="character" w:customStyle="1" w:styleId="22">
    <w:name w:val="批注主题 字符"/>
    <w:basedOn w:val="21"/>
    <w:link w:val="3"/>
    <w:qFormat/>
    <w:uiPriority w:val="0"/>
    <w:rPr>
      <w:rFonts w:ascii="Calibri" w:hAnsi="Calibri"/>
      <w:b/>
      <w:bCs/>
      <w:kern w:val="2"/>
      <w:sz w:val="21"/>
      <w:szCs w:val="22"/>
    </w:rPr>
  </w:style>
  <w:style w:type="character" w:customStyle="1" w:styleId="23">
    <w:name w:val="页眉 字符"/>
    <w:basedOn w:val="10"/>
    <w:link w:val="8"/>
    <w:qFormat/>
    <w:uiPriority w:val="0"/>
    <w:rPr>
      <w:rFonts w:ascii="Calibri" w:hAnsi="Calibri"/>
      <w:kern w:val="2"/>
      <w:sz w:val="18"/>
      <w:szCs w:val="18"/>
    </w:rPr>
  </w:style>
  <w:style w:type="character" w:customStyle="1" w:styleId="24">
    <w:name w:val="页脚 字符"/>
    <w:basedOn w:val="10"/>
    <w:link w:val="7"/>
    <w:qFormat/>
    <w:uiPriority w:val="0"/>
    <w:rPr>
      <w:rFonts w:ascii="Calibri" w:hAnsi="Calibri"/>
      <w:kern w:val="2"/>
      <w:sz w:val="18"/>
      <w:szCs w:val="18"/>
    </w:rPr>
  </w:style>
  <w:style w:type="character" w:customStyle="1" w:styleId="25">
    <w:name w:val="Unresolved Mention"/>
    <w:basedOn w:val="10"/>
    <w:semiHidden/>
    <w:unhideWhenUsed/>
    <w:qFormat/>
    <w:uiPriority w:val="99"/>
    <w:rPr>
      <w:color w:val="605E5C"/>
      <w:shd w:val="clear" w:color="auto" w:fill="E1DFDD"/>
    </w:rPr>
  </w:style>
  <w:style w:type="character" w:customStyle="1" w:styleId="26">
    <w:name w:val="批注框文本 字符"/>
    <w:basedOn w:val="10"/>
    <w:link w:val="6"/>
    <w:qFormat/>
    <w:uiPriority w:val="0"/>
    <w:rPr>
      <w:rFonts w:ascii="Calibri" w:hAnsi="Calibri"/>
      <w:kern w:val="2"/>
      <w:sz w:val="18"/>
      <w:szCs w:val="18"/>
    </w:rPr>
  </w:style>
  <w:style w:type="paragraph" w:customStyle="1" w:styleId="27">
    <w:name w:val="_Style 26"/>
    <w:basedOn w:val="1"/>
    <w:next w:val="14"/>
    <w:qFormat/>
    <w:uiPriority w:val="34"/>
    <w:pPr>
      <w:ind w:firstLine="420" w:firstLineChars="200"/>
    </w:pPr>
    <w:rPr>
      <w:rFonts w:ascii="等线" w:hAnsi="等线" w:eastAsia="等线"/>
    </w:rPr>
  </w:style>
  <w:style w:type="paragraph" w:customStyle="1" w:styleId="28">
    <w:name w:val="_Style 27"/>
    <w:basedOn w:val="1"/>
    <w:next w:val="14"/>
    <w:qFormat/>
    <w:uiPriority w:val="34"/>
    <w:pPr>
      <w:ind w:firstLine="420" w:firstLineChars="200"/>
    </w:pPr>
    <w:rPr>
      <w:rFonts w:ascii="等线" w:hAnsi="等线" w:eastAsia="等线"/>
    </w:rPr>
  </w:style>
  <w:style w:type="paragraph" w:customStyle="1" w:styleId="29">
    <w:name w:val="表格标题"/>
    <w:next w:val="1"/>
    <w:qFormat/>
    <w:uiPriority w:val="0"/>
    <w:pPr>
      <w:widowControl w:val="0"/>
      <w:spacing w:after="120" w:line="300" w:lineRule="auto"/>
      <w:jc w:val="center"/>
    </w:pPr>
    <w:rPr>
      <w:rFonts w:ascii="宋体" w:hAnsi="宋体" w:eastAsia="宋体" w:cs="宋体"/>
      <w:b/>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2772</Words>
  <Characters>2822</Characters>
  <Lines>3</Lines>
  <Paragraphs>9</Paragraphs>
  <TotalTime>0</TotalTime>
  <ScaleCrop>false</ScaleCrop>
  <LinksUpToDate>false</LinksUpToDate>
  <CharactersWithSpaces>2830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2025-02-25T07:13:00Z</dcterms:created>
  <dc:creator>chenyaohui</dc:creator>
  <cp:lastModifiedBy>Zhouyz</cp:lastModifiedBy>
  <dcterms:modified xsi:type="dcterms:W3CDTF">2026-09-02T06:15:29Z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KSOTemplateDocerSaveRecord">
    <vt:lpwstr>eyJoZGlkIjoiNGExZTNkYjVkMTEzOGVhNzRlMjcxMzdlNGJiZDk1YzciLCJ1c2VySWQiOiIzOTg5MDY4MTgifQ==</vt:lpwstr>
  </property>
  <property fmtid="{D5CDD505-2E9C-101B-9397-08002B2CF9AE}" pid="4" name="ICV">
    <vt:lpwstr>DF74459B765D44AEB86FF2D59E68549A_13</vt:lpwstr>
  </property>
</Properties>
</file>