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B8CE1">
      <w:pPr>
        <w:jc w:val="center"/>
        <w:rPr>
          <w:sz w:val="32"/>
          <w:szCs w:val="32"/>
        </w:rPr>
      </w:pPr>
      <w:r>
        <w:rPr>
          <w:sz w:val="32"/>
          <w:szCs w:val="32"/>
        </w:rPr>
        <w:t>金龙联合汽车工业（苏州）有限公司</w:t>
      </w:r>
    </w:p>
    <w:p w14:paraId="3FC85D51"/>
    <w:p w14:paraId="04B0D481"/>
    <w:p w14:paraId="0ED517CE"/>
    <w:p w14:paraId="1FFF037E"/>
    <w:p w14:paraId="1535C175">
      <w:pPr>
        <w:jc w:val="center"/>
        <w:rPr>
          <w:b/>
          <w:sz w:val="44"/>
          <w:szCs w:val="44"/>
        </w:rPr>
      </w:pPr>
      <w:r>
        <w:rPr>
          <w:b/>
          <w:sz w:val="44"/>
          <w:szCs w:val="44"/>
        </w:rPr>
        <w:t>产品服务协议</w:t>
      </w:r>
    </w:p>
    <w:p w14:paraId="4A4B6053"/>
    <w:p w14:paraId="48BB1A2E"/>
    <w:p w14:paraId="4CE8423C"/>
    <w:p w14:paraId="0541C461"/>
    <w:p w14:paraId="471762C7"/>
    <w:p w14:paraId="67354634"/>
    <w:p w14:paraId="01D337E6">
      <w:pPr>
        <w:ind w:firstLine="2800" w:firstLineChars="1000"/>
        <w:rPr>
          <w:u w:val="single"/>
        </w:rPr>
      </w:pPr>
      <w:r>
        <w:rPr>
          <w:sz w:val="28"/>
          <w:szCs w:val="28"/>
        </w:rPr>
        <w:t>协议编号</w:t>
      </w:r>
      <w:r>
        <w:t>：</w:t>
      </w:r>
      <w:r>
        <w:rPr>
          <w:u w:val="single"/>
        </w:rPr>
        <w:t xml:space="preserve"> HIGER-     </w:t>
      </w:r>
    </w:p>
    <w:p w14:paraId="1F142176">
      <w:pPr>
        <w:ind w:firstLine="2100" w:firstLineChars="1000"/>
      </w:pPr>
      <w:r>
        <w:t xml:space="preserve">       </w:t>
      </w:r>
      <w:r>
        <w:rPr>
          <w:sz w:val="24"/>
        </w:rPr>
        <w:t>供应商代码</w:t>
      </w:r>
      <w:r>
        <w:t>：</w:t>
      </w:r>
      <w:r>
        <w:rPr>
          <w:u w:val="single"/>
        </w:rPr>
        <w:t xml:space="preserve">            </w:t>
      </w:r>
    </w:p>
    <w:p w14:paraId="62547A78"/>
    <w:p w14:paraId="5DEB2CD3"/>
    <w:p w14:paraId="222395B0"/>
    <w:p w14:paraId="4A323E27"/>
    <w:p w14:paraId="0487475F"/>
    <w:p w14:paraId="54C9BBE3"/>
    <w:p w14:paraId="5A39CC07"/>
    <w:p w14:paraId="76551D34">
      <w:pPr>
        <w:jc w:val="center"/>
        <w:rPr>
          <w:sz w:val="28"/>
          <w:szCs w:val="28"/>
        </w:rPr>
      </w:pPr>
      <w:r>
        <w:rPr>
          <w:rFonts w:hint="eastAsia"/>
          <w:sz w:val="28"/>
          <w:szCs w:val="28"/>
        </w:rPr>
        <w:t xml:space="preserve"> </w:t>
      </w:r>
      <w:r>
        <w:rPr>
          <w:sz w:val="28"/>
          <w:szCs w:val="28"/>
        </w:rPr>
        <w:t>甲方：金龙联合汽车工业（苏州）有限公司</w:t>
      </w:r>
    </w:p>
    <w:p w14:paraId="3A4E4CFA">
      <w:pPr>
        <w:ind w:firstLine="2100" w:firstLineChars="750"/>
        <w:rPr>
          <w:sz w:val="28"/>
          <w:szCs w:val="28"/>
          <w:u w:val="single"/>
        </w:rPr>
      </w:pPr>
      <w:r>
        <w:rPr>
          <w:sz w:val="28"/>
          <w:szCs w:val="28"/>
        </w:rPr>
        <w:t>乙方：</w:t>
      </w:r>
      <w:r>
        <w:rPr>
          <w:sz w:val="28"/>
          <w:szCs w:val="28"/>
          <w:u w:val="single"/>
        </w:rPr>
        <w:t xml:space="preserve">  </w:t>
      </w:r>
      <w:r>
        <w:rPr>
          <w:rFonts w:hint="eastAsia"/>
          <w:sz w:val="28"/>
          <w:szCs w:val="28"/>
          <w:u w:val="single"/>
        </w:rPr>
        <w:t xml:space="preserve"> </w:t>
      </w:r>
      <w:r>
        <w:rPr>
          <w:sz w:val="28"/>
          <w:szCs w:val="28"/>
          <w:u w:val="single"/>
        </w:rPr>
        <w:t xml:space="preserve">                             </w:t>
      </w:r>
    </w:p>
    <w:p w14:paraId="68EBDAAD"/>
    <w:p w14:paraId="3B31001B"/>
    <w:p w14:paraId="61DDDCCE">
      <w:pPr>
        <w:ind w:firstLine="2520" w:firstLineChars="900"/>
        <w:rPr>
          <w:sz w:val="28"/>
          <w:szCs w:val="28"/>
        </w:rPr>
      </w:pPr>
      <w:r>
        <w:rPr>
          <w:sz w:val="28"/>
          <w:szCs w:val="28"/>
        </w:rPr>
        <w:t>乙方供货类型（打勾选择）：</w:t>
      </w:r>
    </w:p>
    <w:p w14:paraId="176CB23D">
      <w:pPr>
        <w:pStyle w:val="22"/>
        <w:numPr>
          <w:ilvl w:val="0"/>
          <w:numId w:val="1"/>
        </w:numPr>
        <w:ind w:firstLineChars="0"/>
        <w:jc w:val="center"/>
      </w:pPr>
      <w:r>
        <w:rPr>
          <w:rFonts w:hint="eastAsia"/>
        </w:rPr>
        <w:t xml:space="preserve">生产配套类   </w:t>
      </w:r>
      <w:r>
        <w:rPr>
          <w:rFonts w:hint="eastAsia" w:ascii="宋体" w:hAnsi="宋体"/>
        </w:rPr>
        <w:t>■</w:t>
      </w:r>
    </w:p>
    <w:p w14:paraId="3FFE9B1D">
      <w:pPr>
        <w:pStyle w:val="22"/>
        <w:numPr>
          <w:ilvl w:val="0"/>
          <w:numId w:val="1"/>
        </w:numPr>
        <w:ind w:firstLineChars="0"/>
        <w:jc w:val="center"/>
      </w:pPr>
      <w:r>
        <w:rPr>
          <w:rFonts w:hint="eastAsia"/>
        </w:rPr>
        <w:t>委托加工类   □</w:t>
      </w:r>
    </w:p>
    <w:p w14:paraId="25916FEB">
      <w:pPr>
        <w:pStyle w:val="22"/>
        <w:numPr>
          <w:ilvl w:val="0"/>
          <w:numId w:val="1"/>
        </w:numPr>
        <w:ind w:firstLineChars="0"/>
        <w:jc w:val="center"/>
      </w:pPr>
      <w:r>
        <w:rPr>
          <w:rFonts w:hint="eastAsia"/>
        </w:rPr>
        <w:t>代理贸易类   □</w:t>
      </w:r>
    </w:p>
    <w:p w14:paraId="577F4FAE"/>
    <w:p w14:paraId="4A20A0B9"/>
    <w:p w14:paraId="60C2C33B"/>
    <w:p w14:paraId="2AC88919">
      <w:pPr>
        <w:ind w:firstLine="1680" w:firstLineChars="600"/>
        <w:rPr>
          <w:sz w:val="28"/>
          <w:szCs w:val="28"/>
          <w:u w:val="single"/>
        </w:rPr>
      </w:pPr>
      <w:r>
        <w:rPr>
          <w:sz w:val="28"/>
          <w:szCs w:val="28"/>
        </w:rPr>
        <w:t>协议签订地：</w:t>
      </w:r>
      <w:r>
        <w:rPr>
          <w:sz w:val="28"/>
          <w:szCs w:val="28"/>
          <w:u w:val="single"/>
        </w:rPr>
        <w:t xml:space="preserve">        苏州        </w:t>
      </w:r>
    </w:p>
    <w:p w14:paraId="6A4055AD">
      <w:pPr>
        <w:ind w:firstLine="1680" w:firstLineChars="600"/>
        <w:rPr>
          <w:sz w:val="28"/>
          <w:szCs w:val="28"/>
        </w:rPr>
      </w:pPr>
      <w:r>
        <w:rPr>
          <w:rFonts w:hint="eastAsia"/>
          <w:sz w:val="28"/>
          <w:szCs w:val="28"/>
        </w:rPr>
        <w:t xml:space="preserve">             </w:t>
      </w:r>
    </w:p>
    <w:p w14:paraId="4123C6A2">
      <w:pPr>
        <w:jc w:val="center"/>
        <w:rPr>
          <w:sz w:val="28"/>
          <w:szCs w:val="28"/>
        </w:rPr>
      </w:pPr>
      <w:r>
        <w:rPr>
          <w:rFonts w:hint="eastAsia"/>
          <w:sz w:val="28"/>
          <w:szCs w:val="28"/>
        </w:rPr>
        <w:t>20</w:t>
      </w:r>
      <w:r>
        <w:rPr>
          <w:sz w:val="28"/>
          <w:szCs w:val="28"/>
        </w:rPr>
        <w:t>25</w:t>
      </w:r>
      <w:r>
        <w:rPr>
          <w:rFonts w:hint="eastAsia"/>
          <w:sz w:val="28"/>
          <w:szCs w:val="28"/>
        </w:rPr>
        <w:t>版</w:t>
      </w:r>
      <w:r>
        <w:rPr>
          <w:sz w:val="28"/>
          <w:szCs w:val="28"/>
        </w:rPr>
        <w:t xml:space="preserve"> </w:t>
      </w:r>
      <w:r>
        <w:rPr>
          <w:sz w:val="28"/>
          <w:szCs w:val="28"/>
        </w:rPr>
        <w:br w:type="page"/>
      </w:r>
    </w:p>
    <w:p w14:paraId="14880733">
      <w:pPr>
        <w:widowControl/>
        <w:jc w:val="center"/>
        <w:rPr>
          <w:b/>
          <w:sz w:val="44"/>
          <w:szCs w:val="44"/>
        </w:rPr>
      </w:pPr>
    </w:p>
    <w:p w14:paraId="4188FAE8">
      <w:pPr>
        <w:widowControl/>
        <w:jc w:val="center"/>
        <w:rPr>
          <w:sz w:val="28"/>
          <w:szCs w:val="28"/>
        </w:rPr>
      </w:pPr>
      <w:r>
        <w:rPr>
          <w:b/>
          <w:sz w:val="44"/>
          <w:szCs w:val="44"/>
        </w:rPr>
        <w:t>说明</w:t>
      </w:r>
    </w:p>
    <w:p w14:paraId="3F0E65C8">
      <w:pPr>
        <w:numPr>
          <w:ilvl w:val="0"/>
          <w:numId w:val="2"/>
        </w:numPr>
        <w:rPr>
          <w:sz w:val="28"/>
          <w:szCs w:val="28"/>
        </w:rPr>
      </w:pPr>
      <w:r>
        <w:rPr>
          <w:sz w:val="28"/>
          <w:szCs w:val="28"/>
        </w:rPr>
        <w:t>本协议包含目录、正文、附件三部分。</w:t>
      </w:r>
    </w:p>
    <w:p w14:paraId="266378C8">
      <w:pPr>
        <w:numPr>
          <w:ilvl w:val="0"/>
          <w:numId w:val="2"/>
        </w:numPr>
        <w:rPr>
          <w:sz w:val="28"/>
          <w:szCs w:val="28"/>
        </w:rPr>
      </w:pPr>
      <w:r>
        <w:rPr>
          <w:sz w:val="28"/>
          <w:szCs w:val="28"/>
        </w:rPr>
        <w:t>乙方供货类型的定义：</w:t>
      </w:r>
    </w:p>
    <w:p w14:paraId="0C604D2B">
      <w:pPr>
        <w:ind w:left="720"/>
        <w:rPr>
          <w:sz w:val="28"/>
          <w:szCs w:val="28"/>
        </w:rPr>
      </w:pPr>
      <w:r>
        <w:rPr>
          <w:b/>
          <w:sz w:val="28"/>
          <w:szCs w:val="28"/>
          <w:u w:val="single"/>
        </w:rPr>
        <w:t>生产配套类</w:t>
      </w:r>
      <w:r>
        <w:rPr>
          <w:sz w:val="28"/>
          <w:szCs w:val="28"/>
        </w:rPr>
        <w:t>：该类供应商给我司配套生产用零件及总成的同时，直接承担其所提供产品的售后配件的供应及服务工作。</w:t>
      </w:r>
    </w:p>
    <w:p w14:paraId="2A4375D5">
      <w:pPr>
        <w:pStyle w:val="22"/>
        <w:numPr>
          <w:ilvl w:val="0"/>
          <w:numId w:val="2"/>
        </w:numPr>
        <w:ind w:firstLineChars="0"/>
        <w:rPr>
          <w:sz w:val="28"/>
          <w:szCs w:val="28"/>
        </w:rPr>
      </w:pPr>
      <w:r>
        <w:rPr>
          <w:sz w:val="28"/>
          <w:szCs w:val="28"/>
        </w:rPr>
        <w:t>当产品服务协议通则与细则冲突时以细则为准。</w:t>
      </w:r>
    </w:p>
    <w:p w14:paraId="1389D43A">
      <w:pPr>
        <w:pStyle w:val="22"/>
        <w:ind w:left="720" w:firstLine="0" w:firstLineChars="0"/>
        <w:rPr>
          <w:sz w:val="28"/>
          <w:szCs w:val="28"/>
        </w:rPr>
      </w:pPr>
    </w:p>
    <w:p w14:paraId="790C2373">
      <w:pPr>
        <w:rPr>
          <w:sz w:val="28"/>
          <w:szCs w:val="28"/>
        </w:rPr>
      </w:pPr>
    </w:p>
    <w:p w14:paraId="61B8E005">
      <w:pPr>
        <w:rPr>
          <w:sz w:val="28"/>
          <w:szCs w:val="28"/>
        </w:rPr>
      </w:pPr>
    </w:p>
    <w:p w14:paraId="0C7719BA">
      <w:pPr>
        <w:rPr>
          <w:sz w:val="28"/>
          <w:szCs w:val="28"/>
        </w:rPr>
      </w:pPr>
    </w:p>
    <w:p w14:paraId="5022BC5A">
      <w:pPr>
        <w:rPr>
          <w:sz w:val="28"/>
          <w:szCs w:val="28"/>
        </w:rPr>
      </w:pPr>
    </w:p>
    <w:p w14:paraId="5FA0A2FB">
      <w:pPr>
        <w:rPr>
          <w:sz w:val="28"/>
          <w:szCs w:val="28"/>
        </w:rPr>
      </w:pPr>
    </w:p>
    <w:p w14:paraId="309972AB">
      <w:pPr>
        <w:rPr>
          <w:sz w:val="28"/>
          <w:szCs w:val="28"/>
        </w:rPr>
      </w:pPr>
    </w:p>
    <w:p w14:paraId="09D0CACA">
      <w:pPr>
        <w:rPr>
          <w:sz w:val="28"/>
          <w:szCs w:val="28"/>
        </w:rPr>
      </w:pPr>
      <w:r>
        <w:rPr>
          <w:sz w:val="28"/>
          <w:szCs w:val="28"/>
        </w:rPr>
        <w:br w:type="page"/>
      </w:r>
    </w:p>
    <w:p w14:paraId="2A00517F">
      <w:pPr>
        <w:rPr>
          <w:b/>
          <w:sz w:val="44"/>
          <w:szCs w:val="44"/>
        </w:rPr>
      </w:pPr>
    </w:p>
    <w:p w14:paraId="69432BC2">
      <w:pPr>
        <w:jc w:val="center"/>
        <w:rPr>
          <w:b/>
          <w:sz w:val="44"/>
          <w:szCs w:val="44"/>
        </w:rPr>
      </w:pPr>
    </w:p>
    <w:p w14:paraId="50F29B46">
      <w:pPr>
        <w:jc w:val="center"/>
        <w:rPr>
          <w:b/>
          <w:sz w:val="44"/>
          <w:szCs w:val="44"/>
        </w:rPr>
      </w:pPr>
      <w:r>
        <w:rPr>
          <w:b/>
          <w:sz w:val="44"/>
          <w:szCs w:val="44"/>
        </w:rPr>
        <w:t>目 录</w:t>
      </w:r>
    </w:p>
    <w:p w14:paraId="063BB88E">
      <w:pPr>
        <w:wordWrap w:val="0"/>
        <w:jc w:val="right"/>
        <w:rPr>
          <w:sz w:val="28"/>
          <w:szCs w:val="28"/>
        </w:rPr>
      </w:pPr>
      <w:r>
        <w:rPr>
          <w:sz w:val="28"/>
          <w:szCs w:val="28"/>
        </w:rPr>
        <w:t xml:space="preserve">产品服务协议通则                                          </w:t>
      </w:r>
      <w:r>
        <w:rPr>
          <w:rFonts w:hint="eastAsia"/>
          <w:sz w:val="28"/>
          <w:szCs w:val="28"/>
        </w:rPr>
        <w:t>3</w:t>
      </w:r>
    </w:p>
    <w:p w14:paraId="3C23D72F">
      <w:pPr>
        <w:jc w:val="right"/>
        <w:rPr>
          <w:sz w:val="28"/>
          <w:szCs w:val="28"/>
        </w:rPr>
      </w:pPr>
      <w:r>
        <w:rPr>
          <w:sz w:val="28"/>
          <w:szCs w:val="28"/>
        </w:rPr>
        <w:t xml:space="preserve">生产配套类产品服务协议细则                               </w:t>
      </w:r>
      <w:r>
        <w:rPr>
          <w:rFonts w:hint="eastAsia"/>
          <w:sz w:val="28"/>
          <w:szCs w:val="28"/>
        </w:rPr>
        <w:t>13</w:t>
      </w:r>
    </w:p>
    <w:p w14:paraId="7A0D5420">
      <w:pPr>
        <w:wordWrap w:val="0"/>
        <w:jc w:val="right"/>
        <w:rPr>
          <w:sz w:val="28"/>
          <w:szCs w:val="28"/>
        </w:rPr>
      </w:pPr>
      <w:r>
        <w:rPr>
          <w:sz w:val="28"/>
          <w:szCs w:val="28"/>
        </w:rPr>
        <w:t>附件</w:t>
      </w:r>
      <w:r>
        <w:rPr>
          <w:rFonts w:hint="eastAsia"/>
          <w:sz w:val="28"/>
          <w:szCs w:val="28"/>
        </w:rPr>
        <w:t>1</w:t>
      </w:r>
      <w:r>
        <w:rPr>
          <w:sz w:val="28"/>
          <w:szCs w:val="28"/>
        </w:rPr>
        <w:t>：乙方相关人员的联系方式                            25</w:t>
      </w:r>
    </w:p>
    <w:p w14:paraId="6C615A9D">
      <w:pPr>
        <w:wordWrap w:val="0"/>
        <w:jc w:val="right"/>
      </w:pPr>
      <w:r>
        <w:rPr>
          <w:sz w:val="28"/>
          <w:szCs w:val="28"/>
        </w:rPr>
        <w:t>附件2：金龙联合汽车工业（苏州）有限公司开票资料          2</w:t>
      </w:r>
      <w:r>
        <w:rPr>
          <w:rFonts w:hint="eastAsia"/>
          <w:sz w:val="28"/>
          <w:szCs w:val="28"/>
        </w:rPr>
        <w:t>6</w:t>
      </w:r>
    </w:p>
    <w:p w14:paraId="6DDE3723">
      <w:pPr>
        <w:rPr>
          <w:sz w:val="28"/>
          <w:szCs w:val="28"/>
        </w:rPr>
      </w:pPr>
      <w:r>
        <w:rPr>
          <w:sz w:val="28"/>
          <w:szCs w:val="28"/>
        </w:rPr>
        <w:t xml:space="preserve">                        </w:t>
      </w:r>
    </w:p>
    <w:p w14:paraId="00F62E88">
      <w:pPr>
        <w:rPr>
          <w:sz w:val="28"/>
          <w:szCs w:val="28"/>
        </w:rPr>
      </w:pPr>
    </w:p>
    <w:p w14:paraId="7F63D1C6">
      <w:pPr>
        <w:widowControl/>
        <w:jc w:val="left"/>
        <w:rPr>
          <w:sz w:val="28"/>
          <w:szCs w:val="28"/>
        </w:rPr>
      </w:pPr>
      <w:r>
        <w:rPr>
          <w:sz w:val="28"/>
          <w:szCs w:val="28"/>
        </w:rPr>
        <w:br w:type="page"/>
      </w:r>
    </w:p>
    <w:p w14:paraId="337385E1">
      <w:pPr>
        <w:spacing w:line="360" w:lineRule="auto"/>
        <w:ind w:firstLine="2951" w:firstLineChars="1050"/>
        <w:rPr>
          <w:b/>
          <w:sz w:val="28"/>
          <w:szCs w:val="28"/>
        </w:rPr>
      </w:pPr>
      <w:r>
        <w:rPr>
          <w:b/>
          <w:sz w:val="28"/>
          <w:szCs w:val="28"/>
        </w:rPr>
        <w:t>产品服务协议通则</w:t>
      </w:r>
    </w:p>
    <w:p w14:paraId="71E3CBCC">
      <w:pPr>
        <w:spacing w:line="360" w:lineRule="auto"/>
        <w:rPr>
          <w:szCs w:val="21"/>
        </w:rPr>
      </w:pPr>
      <w:r>
        <w:rPr>
          <w:szCs w:val="21"/>
        </w:rPr>
        <w:t>甲方：金龙联合汽车工业（苏州）有限公司</w:t>
      </w:r>
    </w:p>
    <w:p w14:paraId="4B0E40C1">
      <w:pPr>
        <w:spacing w:line="360" w:lineRule="auto"/>
        <w:rPr>
          <w:szCs w:val="21"/>
        </w:rPr>
      </w:pPr>
      <w:r>
        <w:rPr>
          <w:szCs w:val="21"/>
        </w:rPr>
        <w:t>乙方：</w:t>
      </w:r>
    </w:p>
    <w:p w14:paraId="7CD6F876">
      <w:pPr>
        <w:spacing w:line="360" w:lineRule="auto"/>
        <w:ind w:firstLine="435"/>
        <w:rPr>
          <w:szCs w:val="21"/>
        </w:rPr>
      </w:pPr>
      <w:r>
        <w:rPr>
          <w:szCs w:val="21"/>
        </w:rPr>
        <w:t>甲方金龙联合汽车工业（苏州）有限公司，系一家根据《中华人民共和国公司法》等法律、法规组建、在江苏省苏州市工业园区注册的有限责任公司，主要从事大中型客车的研发、生产和销售等经营活动的国内大型客车提供商。公司注册地为：苏州市工业园区苏虹东路288号。</w:t>
      </w:r>
    </w:p>
    <w:p w14:paraId="5E06CA97">
      <w:pPr>
        <w:spacing w:line="360" w:lineRule="auto"/>
        <w:ind w:firstLine="435"/>
        <w:rPr>
          <w:szCs w:val="21"/>
        </w:rPr>
      </w:pPr>
      <w:r>
        <w:rPr>
          <w:szCs w:val="21"/>
        </w:rPr>
        <w:t>乙方</w:t>
      </w:r>
      <w:r>
        <w:rPr>
          <w:szCs w:val="21"/>
          <w:u w:val="single"/>
        </w:rPr>
        <w:t xml:space="preserve">                                </w:t>
      </w:r>
      <w:r>
        <w:rPr>
          <w:szCs w:val="21"/>
        </w:rPr>
        <w:t>，系一家根据《中华人民共和国公司法》等法律、法规组建的</w:t>
      </w:r>
      <w:r>
        <w:rPr>
          <w:szCs w:val="21"/>
          <w:u w:val="single"/>
        </w:rPr>
        <w:t xml:space="preserve">               </w:t>
      </w:r>
      <w:r>
        <w:rPr>
          <w:szCs w:val="21"/>
        </w:rPr>
        <w:t>公司，主要从事</w:t>
      </w:r>
      <w:r>
        <w:rPr>
          <w:szCs w:val="21"/>
          <w:u w:val="single"/>
        </w:rPr>
        <w:t xml:space="preserve">                              </w:t>
      </w:r>
      <w:r>
        <w:rPr>
          <w:szCs w:val="21"/>
        </w:rPr>
        <w:t>等经营活动的独立法人。公司注册地址为：</w:t>
      </w:r>
      <w:r>
        <w:rPr>
          <w:szCs w:val="21"/>
          <w:u w:val="single"/>
        </w:rPr>
        <w:t xml:space="preserve">                                              </w:t>
      </w:r>
      <w:r>
        <w:rPr>
          <w:szCs w:val="21"/>
        </w:rPr>
        <w:t>。</w:t>
      </w:r>
    </w:p>
    <w:p w14:paraId="4596E948">
      <w:pPr>
        <w:spacing w:line="360" w:lineRule="auto"/>
        <w:rPr>
          <w:szCs w:val="21"/>
        </w:rPr>
      </w:pPr>
      <w:r>
        <w:rPr>
          <w:szCs w:val="21"/>
        </w:rPr>
        <w:t>法定代表人：</w:t>
      </w:r>
      <w:r>
        <w:rPr>
          <w:szCs w:val="21"/>
          <w:u w:val="single"/>
        </w:rPr>
        <w:t xml:space="preserve">        </w:t>
      </w:r>
      <w:r>
        <w:rPr>
          <w:szCs w:val="21"/>
        </w:rPr>
        <w:t>。</w:t>
      </w:r>
    </w:p>
    <w:p w14:paraId="4980549C">
      <w:pPr>
        <w:spacing w:line="360" w:lineRule="auto"/>
        <w:ind w:firstLine="435"/>
        <w:rPr>
          <w:szCs w:val="21"/>
        </w:rPr>
      </w:pPr>
      <w:r>
        <w:rPr>
          <w:szCs w:val="21"/>
        </w:rPr>
        <w:t>甲、乙双方根据《中华人民共和国</w:t>
      </w:r>
      <w:r>
        <w:rPr>
          <w:rFonts w:hint="eastAsia"/>
          <w:szCs w:val="21"/>
        </w:rPr>
        <w:t>民法典</w:t>
      </w:r>
      <w:r>
        <w:rPr>
          <w:szCs w:val="21"/>
        </w:rPr>
        <w:t>》、《中华人民共和国产品质量法》等相关法律法规，经过友好协商，</w:t>
      </w:r>
      <w:r>
        <w:rPr>
          <w:rFonts w:eastAsia="新宋体"/>
          <w:szCs w:val="21"/>
        </w:rPr>
        <w:t>双方就乙方提供给甲方的产品及其零部件的售后服务达成协议如下：</w:t>
      </w:r>
    </w:p>
    <w:p w14:paraId="5B3ABC43">
      <w:pPr>
        <w:spacing w:line="360" w:lineRule="auto"/>
        <w:ind w:firstLine="435"/>
        <w:rPr>
          <w:szCs w:val="21"/>
        </w:rPr>
      </w:pPr>
    </w:p>
    <w:p w14:paraId="77553D23">
      <w:pPr>
        <w:spacing w:line="360" w:lineRule="auto"/>
        <w:rPr>
          <w:b/>
          <w:szCs w:val="21"/>
        </w:rPr>
      </w:pPr>
      <w:r>
        <w:rPr>
          <w:b/>
          <w:szCs w:val="21"/>
        </w:rPr>
        <w:t>一、</w:t>
      </w:r>
      <w:r>
        <w:rPr>
          <w:rFonts w:hint="eastAsia"/>
          <w:b/>
          <w:szCs w:val="21"/>
        </w:rPr>
        <w:t>产品证明规范</w:t>
      </w:r>
    </w:p>
    <w:p w14:paraId="1C177003">
      <w:pPr>
        <w:spacing w:line="360" w:lineRule="auto"/>
        <w:jc w:val="left"/>
      </w:pPr>
      <w:r>
        <w:t>1.1备证</w:t>
      </w:r>
    </w:p>
    <w:p w14:paraId="4A30E626">
      <w:pPr>
        <w:spacing w:before="240" w:line="360" w:lineRule="auto"/>
        <w:rPr>
          <w:szCs w:val="21"/>
        </w:rPr>
      </w:pPr>
      <w:r>
        <w:rPr>
          <w:szCs w:val="21"/>
        </w:rPr>
        <w:t>1.1.1乙方向甲方交付产品时，应同时提供该产品的质检合格证明（委托加工类）及配件合格证，如是进口产品应提供产品进口所需的证明材料（商检单、报关单、原产地证书及其他必要的证明材料），如涉及生产许可证管理范围的产品，根据甲方需要，乙方应及时提供许可证复印件。</w:t>
      </w:r>
    </w:p>
    <w:p w14:paraId="50FA2F72">
      <w:pPr>
        <w:spacing w:line="360" w:lineRule="auto"/>
        <w:jc w:val="left"/>
      </w:pPr>
      <w:r>
        <w:rPr>
          <w:szCs w:val="21"/>
        </w:rPr>
        <w:t>1.1.2对于供给甲方的零部件，乙方承诺遵守相关的法规（如知识产权、安全、环保、国家强制性认证要求，甲方产品出口国的相关法规规定等），乙方必须按甲</w:t>
      </w:r>
      <w:r>
        <w:t>方的要求提交有关安全、环保、强制认证等资料。乙方</w:t>
      </w:r>
      <w:r>
        <w:rPr>
          <w:rFonts w:hint="eastAsia"/>
        </w:rPr>
        <w:t>应根据</w:t>
      </w:r>
      <w:r>
        <w:t>甲方的需求</w:t>
      </w:r>
      <w:r>
        <w:rPr>
          <w:rFonts w:hint="eastAsia"/>
        </w:rPr>
        <w:t>提供其它甲方要求的相关证明材料</w:t>
      </w:r>
      <w:r>
        <w:t>。</w:t>
      </w:r>
    </w:p>
    <w:p w14:paraId="28FB1AFB">
      <w:pPr>
        <w:spacing w:line="360" w:lineRule="auto"/>
        <w:jc w:val="left"/>
      </w:pPr>
      <w:r>
        <w:t>1.1.3乙方负责根据甲方的要求向甲方提供配件图册及零部件价格（含电子版本），当乙方产品技术更新后，乙方应及时向甲方提供最新的上述资料。乙方向甲方提供配件应附随有《原产地证书》(中 英文版)</w:t>
      </w:r>
      <w:r>
        <w:rPr>
          <w:rFonts w:hint="eastAsia"/>
        </w:rPr>
        <w:t>，</w:t>
      </w:r>
      <w:r>
        <w:t>详实的《产品说明书》、《质保书》及其他需要特别提醒用户的“告知书”等</w:t>
      </w:r>
      <w:r>
        <w:rPr>
          <w:rFonts w:hint="eastAsia"/>
        </w:rPr>
        <w:t>，</w:t>
      </w:r>
      <w:r>
        <w:t>以备甲方验收、生产、销售及售后使用。</w:t>
      </w:r>
      <w:r>
        <w:rPr>
          <w:rFonts w:hint="eastAsia"/>
        </w:rPr>
        <w:t>如涉及出口产品需提供中英文产品检测报告（商检单、报关单、原产地证书及其他必要的证明材料），如涉及生产许可证管理范围的产品，供应商应及时提供许可证复印件。供应商在我司提出相关文件需求后</w:t>
      </w:r>
      <w:r>
        <w:t>2</w:t>
      </w:r>
      <w:r>
        <w:rPr>
          <w:rFonts w:hint="eastAsia"/>
        </w:rPr>
        <w:t>个工作日内提供。</w:t>
      </w:r>
      <w:r>
        <w:t>对上述资料，如果甲方需要其他语种的版本，乙方应按甲方的要求提供。</w:t>
      </w:r>
    </w:p>
    <w:p w14:paraId="4446DE9C">
      <w:pPr>
        <w:spacing w:line="360" w:lineRule="auto"/>
        <w:jc w:val="left"/>
      </w:pPr>
      <w:r>
        <w:t>1.1.4乙方保证供给甲方的配件与原装配件的质量、厂家、型号的一致性。</w:t>
      </w:r>
    </w:p>
    <w:p w14:paraId="6DD6CED3">
      <w:pPr>
        <w:spacing w:line="360" w:lineRule="auto"/>
        <w:jc w:val="left"/>
      </w:pPr>
      <w:r>
        <w:t>1.1.5乙方未按照上述要求及时、准确的提供相应资料，或提供虚假的资料，甲方有权要求乙方承担每次不低于3000元的违约金。</w:t>
      </w:r>
    </w:p>
    <w:p w14:paraId="64C971C8">
      <w:pPr>
        <w:spacing w:before="240" w:line="360" w:lineRule="auto"/>
        <w:rPr>
          <w:b/>
          <w:color w:val="000000" w:themeColor="text1"/>
          <w:szCs w:val="21"/>
        </w:rPr>
      </w:pPr>
      <w:r>
        <w:rPr>
          <w:b/>
          <w:color w:val="000000" w:themeColor="text1"/>
          <w:szCs w:val="21"/>
        </w:rPr>
        <w:t>二、包装</w:t>
      </w:r>
      <w:r>
        <w:rPr>
          <w:rFonts w:hint="eastAsia"/>
          <w:b/>
          <w:color w:val="000000" w:themeColor="text1"/>
          <w:szCs w:val="21"/>
        </w:rPr>
        <w:t>、</w:t>
      </w:r>
      <w:r>
        <w:rPr>
          <w:b/>
          <w:color w:val="000000" w:themeColor="text1"/>
          <w:szCs w:val="21"/>
        </w:rPr>
        <w:t>标识</w:t>
      </w:r>
      <w:r>
        <w:rPr>
          <w:rFonts w:hint="eastAsia"/>
          <w:b/>
          <w:color w:val="000000" w:themeColor="text1"/>
          <w:szCs w:val="21"/>
        </w:rPr>
        <w:t>、专用性规范</w:t>
      </w:r>
    </w:p>
    <w:p w14:paraId="1F1EECAF">
      <w:pPr>
        <w:spacing w:line="360" w:lineRule="auto"/>
        <w:ind w:left="420" w:hanging="420" w:hangingChars="200"/>
        <w:jc w:val="left"/>
      </w:pPr>
      <w:r>
        <w:rPr>
          <w:rFonts w:hint="eastAsia"/>
          <w:szCs w:val="21"/>
        </w:rPr>
        <w:t>2</w:t>
      </w:r>
      <w:r>
        <w:rPr>
          <w:rFonts w:hint="eastAsia"/>
        </w:rPr>
        <w:t>.2.1乙方向甲方所供产品的外观标识及包装需遵守甲方《零部件标识及印刷附件管理规范》，同时不得留有任何乙方信息（公司名称、商标、联系信息、特殊标记）。</w:t>
      </w:r>
    </w:p>
    <w:p w14:paraId="006AC60D">
      <w:pPr>
        <w:spacing w:line="360" w:lineRule="auto"/>
        <w:ind w:left="420" w:hanging="420" w:hangingChars="200"/>
        <w:jc w:val="left"/>
      </w:pPr>
      <w:r>
        <w:t>2.2.</w:t>
      </w:r>
      <w:r>
        <w:rPr>
          <w:rFonts w:hint="eastAsia"/>
        </w:rPr>
        <w:t>2</w:t>
      </w:r>
      <w:r>
        <w:t>有使用期限的产品，应当在显著位置（用中/英文）清晰的标明生产日期和安全使用期或失效日期（如油品、防冻液等化工类产品）。</w:t>
      </w:r>
    </w:p>
    <w:p w14:paraId="1B3C9759">
      <w:pPr>
        <w:spacing w:line="360" w:lineRule="auto"/>
        <w:ind w:left="420" w:hanging="420" w:hangingChars="200"/>
        <w:jc w:val="left"/>
      </w:pPr>
      <w:r>
        <w:t>2.2.</w:t>
      </w:r>
      <w:r>
        <w:rPr>
          <w:rFonts w:hint="eastAsia"/>
        </w:rPr>
        <w:t>3</w:t>
      </w:r>
      <w:r>
        <w:t>使用不当，容易造成产品本身损坏或者可能危及人身、财产安全的产品，应当有警示标志或者中文警示说明。</w:t>
      </w:r>
    </w:p>
    <w:p w14:paraId="7E86F4C4">
      <w:pPr>
        <w:spacing w:line="360" w:lineRule="auto"/>
        <w:ind w:left="420" w:hanging="420" w:hangingChars="200"/>
        <w:jc w:val="left"/>
      </w:pPr>
      <w:r>
        <w:t>2.2.</w:t>
      </w:r>
      <w:r>
        <w:rPr>
          <w:rFonts w:hint="eastAsia"/>
        </w:rPr>
        <w:t>4</w:t>
      </w:r>
      <w:r>
        <w:t>乙方有义务配合甲方积极改善和提升包装方式，降低包装成本，保证包装的可靠性。因包装造成物料损坏由乙方承担全部损失。乙方提供产品包装标识及图案  □ 应当  □ 必须符合甲方对相关产品的包装标识和图案的要求。</w:t>
      </w:r>
    </w:p>
    <w:p w14:paraId="1A68FAD4">
      <w:pPr>
        <w:spacing w:line="360" w:lineRule="auto"/>
        <w:ind w:left="420" w:hanging="420" w:hangingChars="200"/>
        <w:jc w:val="left"/>
      </w:pPr>
      <w:r>
        <w:t>2.2.</w:t>
      </w:r>
      <w:r>
        <w:rPr>
          <w:rFonts w:hint="eastAsia"/>
        </w:rPr>
        <w:t>5</w:t>
      </w:r>
      <w:r>
        <w:t>乙方必须按甲方的要求向甲方供货，产品上必须按照甲方的要求格式和内容粘贴条形码，如果乙方未按甲方的要求粘贴条形码，产品出现故障后无法追溯，由此造成的一切损失（包含甲方管理费用、人员工时、差旅费、其他因为乙方产品故障造成的损失），由乙方承担。</w:t>
      </w:r>
    </w:p>
    <w:p w14:paraId="486B5D60">
      <w:pPr>
        <w:spacing w:line="360" w:lineRule="auto"/>
        <w:ind w:left="420" w:hanging="420" w:hangingChars="200"/>
        <w:jc w:val="left"/>
      </w:pPr>
      <w:r>
        <w:t>2.2.</w:t>
      </w:r>
      <w:r>
        <w:rPr>
          <w:rFonts w:hint="eastAsia"/>
        </w:rPr>
        <w:t>6</w:t>
      </w:r>
      <w:r>
        <w:t>乙方未按照甲方的要求粘贴条形码时，甲方将有权要求乙方承担每个批次1000元的违约金。</w:t>
      </w:r>
    </w:p>
    <w:p w14:paraId="59E9F4DB">
      <w:pPr>
        <w:spacing w:line="360" w:lineRule="auto"/>
        <w:ind w:left="420" w:hanging="420" w:hangingChars="200"/>
        <w:jc w:val="left"/>
        <w:rPr>
          <w:rFonts w:hAnsi="宋体"/>
          <w:color w:val="000000" w:themeColor="text1"/>
          <w:szCs w:val="21"/>
        </w:rPr>
      </w:pPr>
      <w:r>
        <w:t>2.2.</w:t>
      </w:r>
      <w:r>
        <w:rPr>
          <w:rFonts w:hint="eastAsia"/>
        </w:rPr>
        <w:t>7</w:t>
      </w:r>
      <w:r>
        <w:rPr>
          <w:szCs w:val="21"/>
        </w:rPr>
        <w:t>在未征得甲方同意前不得将带有甲方商标的配件及包装箱销售给第三方</w:t>
      </w:r>
      <w:r>
        <w:rPr>
          <w:color w:val="000000" w:themeColor="text1"/>
          <w:szCs w:val="21"/>
        </w:rPr>
        <w:t>，</w:t>
      </w:r>
      <w:r>
        <w:rPr>
          <w:rFonts w:hint="eastAsia" w:ascii="宋体" w:hAnsi="宋体" w:cs="宋体"/>
          <w:color w:val="000000" w:themeColor="text1"/>
          <w:szCs w:val="21"/>
        </w:rPr>
        <w:t>带有苏州金龙/海格专用尺寸的配件均视为苏州金龙专用配件，没有苏州金龙书面许可销售给第三方，视</w:t>
      </w:r>
      <w:r>
        <w:rPr>
          <w:rFonts w:hint="eastAsia" w:ascii="宋体" w:hAnsi="宋体"/>
          <w:color w:val="000000" w:themeColor="text1"/>
          <w:szCs w:val="21"/>
        </w:rPr>
        <w:t>乙方违约，乙方必须按全年采购额的30%赔付给乙方，最低不低于50000元/项目</w:t>
      </w:r>
      <w:r>
        <w:rPr>
          <w:rFonts w:hint="eastAsia"/>
          <w:color w:val="000000" w:themeColor="text1"/>
          <w:szCs w:val="21"/>
        </w:rPr>
        <w:t>，并依据</w:t>
      </w:r>
      <w:r>
        <w:rPr>
          <w:rFonts w:hint="eastAsia" w:hAnsi="宋体"/>
          <w:color w:val="000000" w:themeColor="text1"/>
          <w:szCs w:val="21"/>
        </w:rPr>
        <w:t>“供应商奖惩细则”予以索赔。</w:t>
      </w:r>
    </w:p>
    <w:p w14:paraId="7F634C3F">
      <w:pPr>
        <w:spacing w:before="240" w:line="360" w:lineRule="auto"/>
        <w:rPr>
          <w:b/>
          <w:color w:val="000000" w:themeColor="text1"/>
          <w:szCs w:val="21"/>
        </w:rPr>
      </w:pPr>
      <w:r>
        <w:rPr>
          <w:b/>
          <w:szCs w:val="21"/>
        </w:rPr>
        <w:t>三</w:t>
      </w:r>
      <w:r>
        <w:rPr>
          <w:rFonts w:hint="eastAsia"/>
          <w:b/>
          <w:szCs w:val="21"/>
        </w:rPr>
        <w:t>、</w:t>
      </w:r>
      <w:r>
        <w:rPr>
          <w:rFonts w:hint="eastAsia"/>
          <w:b/>
          <w:color w:val="000000" w:themeColor="text1"/>
          <w:szCs w:val="21"/>
        </w:rPr>
        <w:t>配件供货及服务保障规范</w:t>
      </w:r>
    </w:p>
    <w:p w14:paraId="1F711329">
      <w:pPr>
        <w:spacing w:line="360" w:lineRule="auto"/>
        <w:jc w:val="left"/>
      </w:pPr>
      <w:r>
        <w:rPr>
          <w:rFonts w:hint="eastAsia"/>
        </w:rPr>
        <w:t>3.1乙方根据甲方模板提供相应配件图册（含备件清单），</w:t>
      </w:r>
      <w:r>
        <w:rPr>
          <w:rFonts w:hint="eastAsia"/>
          <w:b/>
        </w:rPr>
        <w:t>图册内容</w:t>
      </w:r>
      <w:r>
        <w:rPr>
          <w:rFonts w:hint="eastAsia"/>
        </w:rPr>
        <w:t>中必须清晰</w:t>
      </w:r>
      <w:r>
        <w:rPr>
          <w:rFonts w:hint="eastAsia"/>
          <w:b/>
        </w:rPr>
        <w:t>标注易损件和周期保养件</w:t>
      </w:r>
      <w:r>
        <w:rPr>
          <w:rFonts w:hint="eastAsia"/>
        </w:rPr>
        <w:t>。并且针</w:t>
      </w:r>
      <w:r>
        <w:rPr>
          <w:rFonts w:hint="eastAsia"/>
          <w:b/>
        </w:rPr>
        <w:t>对易损件和周期保养件，乙方必须常备足够数量的库存</w:t>
      </w:r>
      <w:r>
        <w:rPr>
          <w:rFonts w:hint="eastAsia"/>
        </w:rPr>
        <w:t>。</w:t>
      </w:r>
    </w:p>
    <w:p w14:paraId="4FF8D28D">
      <w:pPr>
        <w:spacing w:line="360" w:lineRule="auto"/>
        <w:jc w:val="left"/>
      </w:pPr>
      <w:r>
        <w:t>3.</w:t>
      </w:r>
      <w:r>
        <w:rPr>
          <w:rFonts w:hint="eastAsia"/>
        </w:rPr>
        <w:t>2</w:t>
      </w:r>
      <w:r>
        <w:t>订单</w:t>
      </w:r>
      <w:r>
        <w:rPr>
          <w:rFonts w:hint="eastAsia"/>
        </w:rPr>
        <w:t>处理</w:t>
      </w:r>
    </w:p>
    <w:p w14:paraId="17B25014">
      <w:pPr>
        <w:spacing w:line="360" w:lineRule="auto"/>
        <w:jc w:val="left"/>
      </w:pPr>
      <w:r>
        <w:t>3.</w:t>
      </w:r>
      <w:r>
        <w:rPr>
          <w:rFonts w:hint="eastAsia"/>
        </w:rPr>
        <w:t>2</w:t>
      </w:r>
      <w:r>
        <w:t>.1</w:t>
      </w:r>
      <w:r>
        <w:rPr>
          <w:rFonts w:hint="eastAsia"/>
        </w:rPr>
        <w:t>本协议适用于甲方向乙方下达的</w:t>
      </w:r>
      <w:r>
        <w:t xml:space="preserve"> “采购订单”、“特殊产品定做单”（包括但不限于书面、传真、网络数据传输等形式</w:t>
      </w:r>
      <w:r>
        <w:rPr>
          <w:rFonts w:hint="eastAsia"/>
        </w:rPr>
        <w:t>）。</w:t>
      </w:r>
    </w:p>
    <w:p w14:paraId="2EB6D57A">
      <w:pPr>
        <w:spacing w:line="360" w:lineRule="auto"/>
        <w:jc w:val="left"/>
      </w:pPr>
      <w:r>
        <w:t>3.</w:t>
      </w:r>
      <w:r>
        <w:rPr>
          <w:rFonts w:hint="eastAsia"/>
        </w:rPr>
        <w:t>2</w:t>
      </w:r>
      <w:r>
        <w:t>.2乙方应在接到“采购订单”</w:t>
      </w:r>
      <w:r>
        <w:rPr>
          <w:rFonts w:hint="eastAsia"/>
        </w:rPr>
        <w:t>后</w:t>
      </w:r>
      <w:r>
        <w:t>一个工作日内进行“采购订单签返确认”或书面告知甲方，</w:t>
      </w:r>
      <w:r>
        <w:rPr>
          <w:rFonts w:hint="eastAsia"/>
        </w:rPr>
        <w:t>如乙方</w:t>
      </w:r>
      <w:r>
        <w:t>不按时进行“采购订单签返确认”</w:t>
      </w:r>
      <w:r>
        <w:rPr>
          <w:rFonts w:hint="eastAsia"/>
        </w:rPr>
        <w:t>，甲方</w:t>
      </w:r>
      <w:r>
        <w:t>按1000元</w:t>
      </w:r>
      <w:r>
        <w:rPr>
          <w:rFonts w:hint="eastAsia"/>
        </w:rPr>
        <w:t>/单</w:t>
      </w:r>
      <w:r>
        <w:t>的标准进行索赔，同时</w:t>
      </w:r>
      <w:r>
        <w:rPr>
          <w:rFonts w:hint="eastAsia"/>
        </w:rPr>
        <w:t>视为</w:t>
      </w:r>
      <w:r>
        <w:t>乙方默认</w:t>
      </w:r>
      <w:r>
        <w:rPr>
          <w:rFonts w:hint="eastAsia"/>
        </w:rPr>
        <w:t>接受</w:t>
      </w:r>
      <w:r>
        <w:t xml:space="preserve"> “采购订单”的所有要求。</w:t>
      </w:r>
    </w:p>
    <w:p w14:paraId="3728645D">
      <w:pPr>
        <w:spacing w:line="360" w:lineRule="auto"/>
        <w:jc w:val="left"/>
      </w:pPr>
      <w:r>
        <w:t>3.</w:t>
      </w:r>
      <w:r>
        <w:rPr>
          <w:rFonts w:hint="eastAsia"/>
        </w:rPr>
        <w:t>2</w:t>
      </w:r>
      <w:r>
        <w:t>.</w:t>
      </w:r>
      <w:r>
        <w:rPr>
          <w:rFonts w:hint="eastAsia"/>
        </w:rPr>
        <w:t>3</w:t>
      </w:r>
      <w:r>
        <w:t xml:space="preserve"> 乙方交付</w:t>
      </w:r>
      <w:r>
        <w:rPr>
          <w:rFonts w:hint="eastAsia"/>
        </w:rPr>
        <w:t>时，</w:t>
      </w:r>
      <w:r>
        <w:t>必须随货携带“送货单”及&lt;零部件供收方交付检验记录</w:t>
      </w:r>
      <w:r>
        <w:rPr>
          <w:rFonts w:hint="eastAsia"/>
        </w:rPr>
        <w:t>&gt;。</w:t>
      </w:r>
      <w:r>
        <w:t>对乙方不执行此条款的行为，甲方进行500元</w:t>
      </w:r>
      <w:r>
        <w:rPr>
          <w:rFonts w:hint="eastAsia"/>
        </w:rPr>
        <w:t>/批次</w:t>
      </w:r>
      <w:r>
        <w:t>的索赔</w:t>
      </w:r>
      <w:r>
        <w:rPr>
          <w:rFonts w:hint="eastAsia"/>
        </w:rPr>
        <w:t>。</w:t>
      </w:r>
    </w:p>
    <w:p w14:paraId="239F22B9">
      <w:pPr>
        <w:spacing w:line="360" w:lineRule="auto"/>
        <w:jc w:val="left"/>
      </w:pPr>
      <w:r>
        <w:rPr>
          <w:rFonts w:hint="eastAsia"/>
        </w:rPr>
        <w:t>3.2.4乙方</w:t>
      </w:r>
      <w:r>
        <w:t>送货单中配件项目及数量与实际交付的配件项目及数量确保一致</w:t>
      </w:r>
      <w:r>
        <w:rPr>
          <w:rFonts w:hint="eastAsia"/>
        </w:rPr>
        <w:t>。</w:t>
      </w:r>
      <w:r>
        <w:t>如果配件项目及数量不一致，乙方必须在送货单中将项目增减及数量增减情况在送货单备注栏中添写清楚并加盖乙方公章</w:t>
      </w:r>
      <w:r>
        <w:rPr>
          <w:rFonts w:hint="eastAsia"/>
        </w:rPr>
        <w:t>。如</w:t>
      </w:r>
      <w:r>
        <w:t>乙方交货</w:t>
      </w:r>
      <w:r>
        <w:rPr>
          <w:rFonts w:hint="eastAsia"/>
        </w:rPr>
        <w:t>量少于送货单数量，</w:t>
      </w:r>
      <w:r>
        <w:t>则按</w:t>
      </w:r>
      <w:r>
        <w:rPr>
          <w:rFonts w:hint="eastAsia"/>
        </w:rPr>
        <w:t>短货金额的1~3倍索赔</w:t>
      </w:r>
      <w:r>
        <w:t>处理</w:t>
      </w:r>
      <w:r>
        <w:rPr>
          <w:rFonts w:hint="eastAsia"/>
        </w:rPr>
        <w:t>；如</w:t>
      </w:r>
      <w:r>
        <w:t>乙方交货量高于</w:t>
      </w:r>
      <w:r>
        <w:rPr>
          <w:rFonts w:hint="eastAsia"/>
        </w:rPr>
        <w:t>送货单数量</w:t>
      </w:r>
      <w:r>
        <w:t>，甲方可以拒收多交的部分</w:t>
      </w:r>
      <w:r>
        <w:rPr>
          <w:rFonts w:hint="eastAsia"/>
        </w:rPr>
        <w:t>，或协商处理。</w:t>
      </w:r>
    </w:p>
    <w:p w14:paraId="2B03CC01">
      <w:pPr>
        <w:spacing w:line="360" w:lineRule="auto"/>
        <w:jc w:val="left"/>
      </w:pPr>
      <w:r>
        <w:rPr>
          <w:rFonts w:hint="eastAsia"/>
        </w:rPr>
        <w:t>3.2.5以下情况视为乙方的短货行为：</w:t>
      </w:r>
    </w:p>
    <w:p w14:paraId="4BB61010">
      <w:pPr>
        <w:spacing w:line="360" w:lineRule="auto"/>
        <w:jc w:val="left"/>
      </w:pPr>
      <w:r>
        <w:rPr>
          <w:rFonts w:hint="eastAsia"/>
        </w:rPr>
        <w:t>3.2.5.1乙方所供</w:t>
      </w:r>
      <w:r>
        <w:t>单个包装箱内实际装箱数量</w:t>
      </w:r>
      <w:r>
        <w:rPr>
          <w:rFonts w:hint="eastAsia"/>
        </w:rPr>
        <w:t>少于</w:t>
      </w:r>
      <w:r>
        <w:t>标称数量</w:t>
      </w:r>
      <w:r>
        <w:rPr>
          <w:rFonts w:hint="eastAsia"/>
        </w:rPr>
        <w:t>。</w:t>
      </w:r>
    </w:p>
    <w:p w14:paraId="22931D84">
      <w:pPr>
        <w:spacing w:line="360" w:lineRule="auto"/>
        <w:jc w:val="left"/>
      </w:pPr>
      <w:r>
        <w:rPr>
          <w:rFonts w:hint="eastAsia"/>
        </w:rPr>
        <w:t>3.2.5.2</w:t>
      </w:r>
      <w:r>
        <w:t>乙方未按甲方要求的核价单位数量执行</w:t>
      </w:r>
      <w:r>
        <w:rPr>
          <w:rFonts w:hint="eastAsia"/>
        </w:rPr>
        <w:t>。</w:t>
      </w:r>
    </w:p>
    <w:p w14:paraId="00E0136B">
      <w:pPr>
        <w:spacing w:line="360" w:lineRule="auto"/>
        <w:jc w:val="left"/>
      </w:pPr>
      <w:r>
        <w:rPr>
          <w:rFonts w:hint="eastAsia"/>
        </w:rPr>
        <w:t>3.2.5.3乙方</w:t>
      </w:r>
      <w:r>
        <w:t>实物与甲乙双方确认的技术状态不一致，</w:t>
      </w:r>
      <w:r>
        <w:rPr>
          <w:rFonts w:hint="eastAsia"/>
        </w:rPr>
        <w:t>附件缺失的。</w:t>
      </w:r>
      <w:r>
        <w:t>如仪表台未带各类面板等附件</w:t>
      </w:r>
      <w:r>
        <w:rPr>
          <w:rFonts w:hint="eastAsia"/>
        </w:rPr>
        <w:t>。</w:t>
      </w:r>
    </w:p>
    <w:p w14:paraId="2F55A7C5">
      <w:pPr>
        <w:spacing w:line="360" w:lineRule="auto"/>
        <w:jc w:val="left"/>
      </w:pPr>
      <w:r>
        <w:rPr>
          <w:rFonts w:hint="eastAsia"/>
        </w:rPr>
        <w:t>3.2.6</w:t>
      </w:r>
      <w:r>
        <w:t>由于甲方未按</w:t>
      </w:r>
      <w:r>
        <w:rPr>
          <w:rFonts w:hint="eastAsia"/>
        </w:rPr>
        <w:t>照</w:t>
      </w:r>
      <w:r>
        <w:t>双方约定批量订单下单</w:t>
      </w:r>
      <w:r>
        <w:rPr>
          <w:rFonts w:hint="eastAsia"/>
        </w:rPr>
        <w:t>，</w:t>
      </w:r>
      <w:r>
        <w:t>且乙方已在</w:t>
      </w:r>
      <w:r>
        <w:rPr>
          <w:rFonts w:hint="eastAsia"/>
        </w:rPr>
        <w:t>包装</w:t>
      </w:r>
      <w:r>
        <w:t>箱外注明的</w:t>
      </w:r>
      <w:r>
        <w:rPr>
          <w:rFonts w:hint="eastAsia"/>
        </w:rPr>
        <w:t>不属于短货行为</w:t>
      </w:r>
      <w:r>
        <w:t>。</w:t>
      </w:r>
    </w:p>
    <w:p w14:paraId="0411F761">
      <w:pPr>
        <w:spacing w:line="360" w:lineRule="auto"/>
        <w:jc w:val="left"/>
        <w:rPr>
          <w:color w:val="000000" w:themeColor="text1"/>
        </w:rPr>
      </w:pPr>
      <w:r>
        <w:rPr>
          <w:rFonts w:hint="eastAsia"/>
          <w:color w:val="000000" w:themeColor="text1"/>
        </w:rPr>
        <w:t>3.2.7 从乙方产品开始供货时间开始，乙方必须在10年内确保服务技术支持和配件保障。</w:t>
      </w:r>
    </w:p>
    <w:p w14:paraId="404BF5CE">
      <w:pPr>
        <w:spacing w:line="360" w:lineRule="auto"/>
        <w:jc w:val="left"/>
        <w:rPr>
          <w:color w:val="000000" w:themeColor="text1"/>
        </w:rPr>
      </w:pPr>
      <w:r>
        <w:rPr>
          <w:rFonts w:hint="eastAsia"/>
          <w:color w:val="000000" w:themeColor="text1"/>
        </w:rPr>
        <w:t>3.2.8 对于因为各种原因造成某种产品不再供应时，乙方必须提前制订替换件供应方案，并得到甲方批准，否则，停供造成的责任和损失由乙方全额承担。</w:t>
      </w:r>
    </w:p>
    <w:p w14:paraId="3D21AC73">
      <w:pPr>
        <w:spacing w:line="360" w:lineRule="auto"/>
        <w:jc w:val="left"/>
      </w:pPr>
      <w:r>
        <w:t>3.</w:t>
      </w:r>
      <w:r>
        <w:rPr>
          <w:rFonts w:hint="eastAsia"/>
        </w:rPr>
        <w:t>3</w:t>
      </w:r>
      <w:r>
        <w:t>库存</w:t>
      </w:r>
      <w:r>
        <w:rPr>
          <w:rFonts w:hint="eastAsia"/>
        </w:rPr>
        <w:t>服务保障规范</w:t>
      </w:r>
    </w:p>
    <w:p w14:paraId="4FE19A62">
      <w:pPr>
        <w:spacing w:line="360" w:lineRule="auto"/>
        <w:jc w:val="left"/>
        <w:rPr>
          <w:color w:val="000000" w:themeColor="text1"/>
        </w:rPr>
      </w:pPr>
      <w:r>
        <w:rPr>
          <w:rFonts w:hint="eastAsia"/>
          <w:color w:val="000000" w:themeColor="text1"/>
        </w:rPr>
        <w:t>3.3.1为保障及时足量供货，乙方必须（对供货配件品种储备安全库存，具体库存品种数量由苏州金龙客户服务部提供库存清单，乙方按库存清单）建立配件安全库存，甲方有权不定期的检查乙方的安全库存（常规易损件，供货频次较高的配件），因乙方配套的停车件缺件，导致客户车辆停运损失【损失额=（停运天数-配件运输天数）乘以每日损失额（5~13m车依次为每日500元~1300元）】如实际损失大于上述损失以实际损失金额为准，乙方须按停运损失额赔付给甲方。</w:t>
      </w:r>
    </w:p>
    <w:p w14:paraId="1CEC7CF1">
      <w:pPr>
        <w:spacing w:before="240" w:line="360" w:lineRule="auto"/>
        <w:rPr>
          <w:szCs w:val="21"/>
        </w:rPr>
      </w:pPr>
      <w:r>
        <w:rPr>
          <w:szCs w:val="21"/>
        </w:rPr>
        <w:t>3.</w:t>
      </w:r>
      <w:r>
        <w:rPr>
          <w:rFonts w:hint="eastAsia"/>
          <w:szCs w:val="21"/>
        </w:rPr>
        <w:t>4</w:t>
      </w:r>
      <w:r>
        <w:rPr>
          <w:szCs w:val="21"/>
        </w:rPr>
        <w:t>配件的退换货</w:t>
      </w:r>
    </w:p>
    <w:p w14:paraId="3781ED23">
      <w:pPr>
        <w:spacing w:line="360" w:lineRule="auto"/>
        <w:rPr>
          <w:szCs w:val="21"/>
        </w:rPr>
      </w:pPr>
      <w:r>
        <w:rPr>
          <w:szCs w:val="21"/>
        </w:rPr>
        <w:t>3.</w:t>
      </w:r>
      <w:r>
        <w:rPr>
          <w:rFonts w:hint="eastAsia"/>
          <w:szCs w:val="21"/>
        </w:rPr>
        <w:t>4.</w:t>
      </w:r>
      <w:r>
        <w:rPr>
          <w:szCs w:val="21"/>
        </w:rPr>
        <w:t>1对于甲方库存的乙方物料，包括甲方用于售后服务从乙方采购的物料，如因产品变更或订单撤销造成物料长期积压，乙方应当积极配合甲方处理，处理方式双方协商约定。</w:t>
      </w:r>
    </w:p>
    <w:p w14:paraId="0E732B6A">
      <w:pPr>
        <w:spacing w:line="360" w:lineRule="auto"/>
        <w:rPr>
          <w:szCs w:val="21"/>
        </w:rPr>
      </w:pPr>
      <w:r>
        <w:rPr>
          <w:szCs w:val="21"/>
        </w:rPr>
        <w:t>3.</w:t>
      </w:r>
      <w:r>
        <w:rPr>
          <w:rFonts w:hint="eastAsia"/>
          <w:szCs w:val="21"/>
        </w:rPr>
        <w:t>4</w:t>
      </w:r>
      <w:r>
        <w:rPr>
          <w:szCs w:val="21"/>
        </w:rPr>
        <w:t>.2对于滞销的配件，乙方允许甲方在规定的时间内退换货，在配件到货一年内按原价退换，到货一年至二年的配件按原价的8.5折退换，二年以上的配件按原价的7折退换。</w:t>
      </w:r>
    </w:p>
    <w:p w14:paraId="735530DC">
      <w:pPr>
        <w:spacing w:line="360" w:lineRule="auto"/>
        <w:rPr>
          <w:szCs w:val="21"/>
        </w:rPr>
      </w:pPr>
      <w:r>
        <w:rPr>
          <w:szCs w:val="21"/>
        </w:rPr>
        <w:t>3.</w:t>
      </w:r>
      <w:r>
        <w:rPr>
          <w:rFonts w:hint="eastAsia"/>
          <w:szCs w:val="21"/>
        </w:rPr>
        <w:t>4</w:t>
      </w:r>
      <w:r>
        <w:rPr>
          <w:szCs w:val="21"/>
        </w:rPr>
        <w:t>.3 甲方承诺每年的退货、换货额度不大于乙方年度总供货量的20％。</w:t>
      </w:r>
    </w:p>
    <w:p w14:paraId="26406055">
      <w:pPr>
        <w:spacing w:line="360" w:lineRule="auto"/>
        <w:rPr>
          <w:szCs w:val="21"/>
        </w:rPr>
      </w:pPr>
    </w:p>
    <w:p w14:paraId="0EBC72D3">
      <w:pPr>
        <w:spacing w:line="360" w:lineRule="auto"/>
        <w:rPr>
          <w:b/>
          <w:szCs w:val="21"/>
        </w:rPr>
      </w:pPr>
      <w:r>
        <w:rPr>
          <w:b/>
          <w:szCs w:val="21"/>
        </w:rPr>
        <w:t>3.</w:t>
      </w:r>
      <w:r>
        <w:rPr>
          <w:rFonts w:hint="eastAsia"/>
          <w:b/>
          <w:szCs w:val="21"/>
        </w:rPr>
        <w:t>5</w:t>
      </w:r>
      <w:r>
        <w:rPr>
          <w:b/>
          <w:szCs w:val="21"/>
        </w:rPr>
        <w:t>供货期限</w:t>
      </w:r>
    </w:p>
    <w:p w14:paraId="6E8DC93D">
      <w:pPr>
        <w:spacing w:line="360" w:lineRule="auto"/>
        <w:rPr>
          <w:szCs w:val="21"/>
        </w:rPr>
      </w:pPr>
      <w:r>
        <w:rPr>
          <w:szCs w:val="21"/>
        </w:rPr>
        <w:t>3.</w:t>
      </w:r>
      <w:r>
        <w:rPr>
          <w:rFonts w:hint="eastAsia"/>
          <w:szCs w:val="21"/>
        </w:rPr>
        <w:t>5</w:t>
      </w:r>
      <w:r>
        <w:rPr>
          <w:szCs w:val="21"/>
        </w:rPr>
        <w:t>.1</w:t>
      </w:r>
      <w:r>
        <w:rPr>
          <w:rFonts w:hint="eastAsia"/>
          <w:szCs w:val="21"/>
        </w:rPr>
        <w:t>乙方必须遵守甲方订单协议</w:t>
      </w:r>
      <w:r>
        <w:rPr>
          <w:szCs w:val="21"/>
        </w:rPr>
        <w:t>所要求的交货时间（指到达甲方指定地点的时间）。甲方对乙方的交付率（前期、当天到货都视为按时）进行月度考核，当乙方月交付率低于95%时，乙方必须向甲方提交整改报告，并在次月整改到位，对没有整改措施或整改无效的甲方有权采取延长付款期限等措施，并要求乙方赔偿甲方因延期交付造成的损失。（月交付率定义为：当月按采购单时限到货的项目数/当月采购单总项目数×100％）</w:t>
      </w:r>
    </w:p>
    <w:p w14:paraId="506E1907">
      <w:pPr>
        <w:spacing w:line="360" w:lineRule="auto"/>
        <w:rPr>
          <w:szCs w:val="21"/>
        </w:rPr>
      </w:pPr>
      <w:r>
        <w:rPr>
          <w:szCs w:val="21"/>
        </w:rPr>
        <w:t>3.</w:t>
      </w:r>
      <w:r>
        <w:rPr>
          <w:rFonts w:hint="eastAsia"/>
          <w:szCs w:val="21"/>
        </w:rPr>
        <w:t>5</w:t>
      </w:r>
      <w:r>
        <w:rPr>
          <w:szCs w:val="21"/>
        </w:rPr>
        <w:t>.2甲方可以根据物料采购的紧急程度与乙方协商物料的到货周期，甲方对乙方物料采购周期的调整采取书面传真、电子邮件、“采购订单”签返确认等形式告知乙方。</w:t>
      </w:r>
    </w:p>
    <w:p w14:paraId="2AC302BA">
      <w:pPr>
        <w:spacing w:line="360" w:lineRule="auto"/>
        <w:rPr>
          <w:szCs w:val="21"/>
        </w:rPr>
      </w:pPr>
      <w:r>
        <w:rPr>
          <w:szCs w:val="21"/>
        </w:rPr>
        <w:t>3.</w:t>
      </w:r>
      <w:r>
        <w:rPr>
          <w:rFonts w:hint="eastAsia"/>
          <w:szCs w:val="21"/>
        </w:rPr>
        <w:t>5</w:t>
      </w:r>
      <w:r>
        <w:rPr>
          <w:szCs w:val="21"/>
        </w:rPr>
        <w:t>.3应急服务的配件交付：对于乙方积极配合甲方配件采购工程师处理急件的，甲方可根据实际情况减轻当月由于未按时到货的索赔款；对于拒不配合的，甲方视实际情况有权给予相应的考核且当月服务绩效为0。</w:t>
      </w:r>
    </w:p>
    <w:p w14:paraId="164C639A">
      <w:pPr>
        <w:spacing w:line="360" w:lineRule="auto"/>
        <w:rPr>
          <w:szCs w:val="21"/>
        </w:rPr>
      </w:pPr>
      <w:r>
        <w:rPr>
          <w:szCs w:val="21"/>
        </w:rPr>
        <w:t>3.</w:t>
      </w:r>
      <w:r>
        <w:rPr>
          <w:rFonts w:hint="eastAsia"/>
          <w:szCs w:val="21"/>
        </w:rPr>
        <w:t>5</w:t>
      </w:r>
      <w:r>
        <w:rPr>
          <w:szCs w:val="21"/>
        </w:rPr>
        <w:t>.4“采购订单”执行后，对一切可能延期交货的情况，乙方都要立即书面或电子邮件的形式（并辅以电话）通知甲方，甲方在接到通知后，除有权决定是否解除该批订单外仍可向乙方索赔由此造成的损失。</w:t>
      </w:r>
    </w:p>
    <w:p w14:paraId="0B95D01C">
      <w:pPr>
        <w:spacing w:line="360" w:lineRule="auto"/>
        <w:rPr>
          <w:szCs w:val="21"/>
        </w:rPr>
      </w:pPr>
      <w:r>
        <w:rPr>
          <w:szCs w:val="21"/>
        </w:rPr>
        <w:t>3.</w:t>
      </w:r>
      <w:r>
        <w:rPr>
          <w:rFonts w:hint="eastAsia"/>
          <w:szCs w:val="21"/>
        </w:rPr>
        <w:t>5</w:t>
      </w:r>
      <w:r>
        <w:rPr>
          <w:szCs w:val="21"/>
        </w:rPr>
        <w:t>.5乙方有义务和责任配合甲方不断改善物流和交付方式</w:t>
      </w:r>
    </w:p>
    <w:p w14:paraId="0D5D6864">
      <w:pPr>
        <w:spacing w:line="360" w:lineRule="auto"/>
        <w:rPr>
          <w:szCs w:val="21"/>
        </w:rPr>
      </w:pPr>
    </w:p>
    <w:p w14:paraId="537A69DE">
      <w:pPr>
        <w:spacing w:line="360" w:lineRule="auto"/>
        <w:rPr>
          <w:szCs w:val="21"/>
        </w:rPr>
      </w:pPr>
      <w:r>
        <w:rPr>
          <w:szCs w:val="21"/>
        </w:rPr>
        <w:t>3.</w:t>
      </w:r>
      <w:r>
        <w:rPr>
          <w:rFonts w:hint="eastAsia"/>
          <w:szCs w:val="21"/>
        </w:rPr>
        <w:t>6</w:t>
      </w:r>
      <w:r>
        <w:rPr>
          <w:szCs w:val="21"/>
        </w:rPr>
        <w:t>交付违约赔偿</w:t>
      </w:r>
    </w:p>
    <w:p w14:paraId="1A3C4391">
      <w:pPr>
        <w:spacing w:line="360" w:lineRule="auto"/>
        <w:rPr>
          <w:szCs w:val="21"/>
        </w:rPr>
      </w:pPr>
      <w:r>
        <w:rPr>
          <w:szCs w:val="21"/>
        </w:rPr>
        <w:t>3.</w:t>
      </w:r>
      <w:r>
        <w:rPr>
          <w:rFonts w:hint="eastAsia"/>
          <w:szCs w:val="21"/>
        </w:rPr>
        <w:t>6</w:t>
      </w:r>
      <w:r>
        <w:rPr>
          <w:szCs w:val="21"/>
        </w:rPr>
        <w:t>.1乙方延期交货或供货质量与甲方要求不符及送错货、条码与实物不符，不能正常使用，或交付数量少于“采购订单”数量，甲方可以要求乙方支付每项次200元/天的违约金；若甲方实际损失高于该违约金，乙方应当据实赔偿。</w:t>
      </w:r>
    </w:p>
    <w:p w14:paraId="14F8C3F5">
      <w:pPr>
        <w:spacing w:line="360" w:lineRule="auto"/>
        <w:rPr>
          <w:szCs w:val="21"/>
        </w:rPr>
      </w:pPr>
      <w:r>
        <w:rPr>
          <w:szCs w:val="21"/>
        </w:rPr>
        <w:t>3.</w:t>
      </w:r>
      <w:r>
        <w:rPr>
          <w:rFonts w:hint="eastAsia"/>
          <w:szCs w:val="21"/>
        </w:rPr>
        <w:t>6</w:t>
      </w:r>
      <w:r>
        <w:rPr>
          <w:szCs w:val="21"/>
        </w:rPr>
        <w:t>.2乙方的月度交付率低于95%，甲方将采取通报批评的方式进行，同时对连续两次（含两次）以上通报的，甲方有权要求乙方承担2000元/次的违约金。</w:t>
      </w:r>
    </w:p>
    <w:p w14:paraId="26823CE9">
      <w:pPr>
        <w:spacing w:line="360" w:lineRule="auto"/>
        <w:rPr>
          <w:szCs w:val="21"/>
        </w:rPr>
      </w:pPr>
      <w:r>
        <w:rPr>
          <w:szCs w:val="21"/>
        </w:rPr>
        <w:t>3.</w:t>
      </w:r>
      <w:r>
        <w:rPr>
          <w:rFonts w:hint="eastAsia"/>
          <w:szCs w:val="21"/>
        </w:rPr>
        <w:t>6</w:t>
      </w:r>
      <w:r>
        <w:rPr>
          <w:szCs w:val="21"/>
        </w:rPr>
        <w:t>.3甲方配件采购工程师每月25日统计上月乙方交付情况，通报给乙方以及甲方配件供应商管理工程师。乙方在收到甲方预处罚通报后5个工作日内进行确认，过期按默认同意执行。</w:t>
      </w:r>
    </w:p>
    <w:p w14:paraId="6D67853E">
      <w:pPr>
        <w:spacing w:line="360" w:lineRule="auto"/>
        <w:rPr>
          <w:szCs w:val="21"/>
        </w:rPr>
      </w:pPr>
      <w:r>
        <w:rPr>
          <w:szCs w:val="21"/>
        </w:rPr>
        <w:t>交付索赔标准：1、对实际到货时间大于签返到货时间的异常采购订单进行索赔统计；2、订单下达时间至签返到货时间周期小于协议期的以协议期为标准进行考核，3、订单下达时间至签返到货时间大于协议期以签返时间进行考核。</w:t>
      </w:r>
    </w:p>
    <w:p w14:paraId="376F8A1E">
      <w:pPr>
        <w:spacing w:line="360" w:lineRule="auto"/>
        <w:rPr>
          <w:szCs w:val="21"/>
        </w:rPr>
      </w:pPr>
      <w:r>
        <w:rPr>
          <w:szCs w:val="21"/>
        </w:rPr>
        <w:t>举例如下：协议约定的周期=A；实际到货时间=B，订单签返时间=C，订单下达时间=D。</w:t>
      </w:r>
    </w:p>
    <w:p w14:paraId="4D127EA2">
      <w:pPr>
        <w:spacing w:line="360" w:lineRule="auto"/>
        <w:rPr>
          <w:szCs w:val="21"/>
        </w:rPr>
      </w:pPr>
      <w:r>
        <w:rPr>
          <w:szCs w:val="21"/>
        </w:rPr>
        <w:t>当B&gt;C时对交付项目进行统计，若B&gt;A,索赔为200*（B-A），反之不考核。</w:t>
      </w:r>
    </w:p>
    <w:p w14:paraId="5990EF9B">
      <w:pPr>
        <w:spacing w:line="360" w:lineRule="auto"/>
        <w:rPr>
          <w:szCs w:val="21"/>
        </w:rPr>
      </w:pPr>
      <w:r>
        <w:rPr>
          <w:szCs w:val="21"/>
        </w:rPr>
        <w:t>若C&gt;A ,索赔为200*（B-C）</w:t>
      </w:r>
    </w:p>
    <w:p w14:paraId="2844F696">
      <w:pPr>
        <w:spacing w:before="240" w:line="360" w:lineRule="auto"/>
        <w:rPr>
          <w:b/>
          <w:szCs w:val="21"/>
        </w:rPr>
      </w:pPr>
      <w:r>
        <w:rPr>
          <w:b/>
          <w:szCs w:val="21"/>
        </w:rPr>
        <w:t>四、配件保修期</w:t>
      </w:r>
      <w:r>
        <w:rPr>
          <w:rFonts w:hint="eastAsia"/>
          <w:b/>
          <w:szCs w:val="21"/>
        </w:rPr>
        <w:t>规范</w:t>
      </w:r>
    </w:p>
    <w:p w14:paraId="78B493D5">
      <w:pPr>
        <w:spacing w:before="240" w:line="360" w:lineRule="auto"/>
        <w:rPr>
          <w:szCs w:val="21"/>
        </w:rPr>
      </w:pPr>
      <w:r>
        <w:rPr>
          <w:szCs w:val="21"/>
        </w:rPr>
        <w:t>4.1乙方向甲方供应的产品，其质量保修期限</w:t>
      </w:r>
      <w:r>
        <w:rPr>
          <w:rFonts w:hint="eastAsia"/>
          <w:szCs w:val="21"/>
        </w:rPr>
        <w:t>应不低于</w:t>
      </w:r>
      <w:r>
        <w:rPr>
          <w:szCs w:val="21"/>
        </w:rPr>
        <w:t>甲方《海格客车品质保证手册》相关内容的规定，在本协议有效期间如遇国家、行业、公司标准变更，按照新的标准执行。</w:t>
      </w:r>
    </w:p>
    <w:p w14:paraId="42984D30">
      <w:pPr>
        <w:spacing w:before="240" w:line="360" w:lineRule="auto"/>
        <w:rPr>
          <w:szCs w:val="21"/>
        </w:rPr>
      </w:pPr>
      <w:r>
        <w:rPr>
          <w:rFonts w:hint="eastAsia"/>
          <w:szCs w:val="21"/>
        </w:rPr>
        <w:t>4.2全球市场范围内，属于乙方配件保修责任的维修和更换，甲方支付给服务商的材料管理费、工时费用等售后服务费用由乙方全额承担。</w:t>
      </w:r>
    </w:p>
    <w:p w14:paraId="67D5F92F">
      <w:pPr>
        <w:spacing w:before="240" w:line="360" w:lineRule="auto"/>
        <w:rPr>
          <w:b/>
          <w:color w:val="000000" w:themeColor="text1"/>
          <w:szCs w:val="21"/>
        </w:rPr>
      </w:pPr>
      <w:r>
        <w:rPr>
          <w:b/>
          <w:color w:val="000000" w:themeColor="text1"/>
          <w:szCs w:val="21"/>
        </w:rPr>
        <w:t>五、服务资料的提供</w:t>
      </w:r>
      <w:r>
        <w:rPr>
          <w:rFonts w:hint="eastAsia"/>
          <w:b/>
          <w:color w:val="000000" w:themeColor="text1"/>
          <w:szCs w:val="21"/>
        </w:rPr>
        <w:t>规范</w:t>
      </w:r>
      <w:r>
        <w:rPr>
          <w:b/>
          <w:color w:val="000000" w:themeColor="text1"/>
          <w:szCs w:val="21"/>
        </w:rPr>
        <w:t>：</w:t>
      </w:r>
    </w:p>
    <w:p w14:paraId="16C57C9C">
      <w:pPr>
        <w:spacing w:before="240" w:line="360" w:lineRule="auto"/>
        <w:rPr>
          <w:szCs w:val="21"/>
        </w:rPr>
      </w:pPr>
      <w:r>
        <w:rPr>
          <w:szCs w:val="21"/>
        </w:rPr>
        <w:t>5.1 乙方须免费向甲方及时提供 “配件价格表”</w:t>
      </w:r>
      <w:r>
        <w:rPr>
          <w:rFonts w:hint="eastAsia"/>
          <w:szCs w:val="21"/>
        </w:rPr>
        <w:t>，</w:t>
      </w:r>
      <w:r>
        <w:rPr>
          <w:szCs w:val="21"/>
        </w:rPr>
        <w:t>或向甲方开通乙方价格查询网站权限，以便甲方及时维护物料属性，更新系统配件价格</w:t>
      </w:r>
      <w:r>
        <w:rPr>
          <w:rFonts w:hint="eastAsia"/>
          <w:szCs w:val="21"/>
        </w:rPr>
        <w:t>。</w:t>
      </w:r>
      <w:r>
        <w:rPr>
          <w:szCs w:val="21"/>
        </w:rPr>
        <w:t>对于乙方不及时提供配件价格而到货的配件，甲方有权不予结算，并且乙方还要承担不低于3000元的违约金。</w:t>
      </w:r>
    </w:p>
    <w:p w14:paraId="314A1BCE">
      <w:pPr>
        <w:pStyle w:val="22"/>
        <w:spacing w:line="360" w:lineRule="auto"/>
        <w:ind w:firstLine="0" w:firstLineChars="0"/>
        <w:rPr>
          <w:rFonts w:ascii="Times New Roman" w:hAnsi="Times New Roman"/>
        </w:rPr>
      </w:pPr>
      <w:r>
        <w:rPr>
          <w:rFonts w:ascii="Times New Roman" w:hAnsi="Times New Roman"/>
          <w:szCs w:val="24"/>
        </w:rPr>
        <w:t>5.2</w:t>
      </w:r>
      <w:r>
        <w:rPr>
          <w:rFonts w:ascii="Times New Roman" w:hAnsi="Times New Roman"/>
        </w:rPr>
        <w:t>服务资料提供标准</w:t>
      </w:r>
    </w:p>
    <w:p w14:paraId="03196AFB">
      <w:pPr>
        <w:spacing w:line="360" w:lineRule="auto"/>
        <w:jc w:val="left"/>
      </w:pPr>
      <w:r>
        <w:t>5.2.1服务资料包括：维修手册、使用说明书</w:t>
      </w:r>
      <w:r>
        <w:rPr>
          <w:rFonts w:hint="eastAsia"/>
        </w:rPr>
        <w:t>、</w:t>
      </w:r>
      <w:r>
        <w:t>配件图册、</w:t>
      </w:r>
      <w:r>
        <w:rPr>
          <w:rFonts w:hint="eastAsia"/>
        </w:rPr>
        <w:t>配件名称及</w:t>
      </w:r>
      <w:r>
        <w:t>配件代码</w:t>
      </w:r>
      <w:r>
        <w:rPr>
          <w:rFonts w:hint="eastAsia"/>
        </w:rPr>
        <w:t>等</w:t>
      </w:r>
      <w:r>
        <w:t>。</w:t>
      </w:r>
    </w:p>
    <w:p w14:paraId="0129DB0E">
      <w:pPr>
        <w:spacing w:line="360" w:lineRule="auto"/>
      </w:pPr>
      <w:r>
        <w:t>5.2.2服务资料按甲方标准提供，</w:t>
      </w:r>
      <w:r>
        <w:rPr>
          <w:rFonts w:hint="eastAsia"/>
        </w:rPr>
        <w:t>要求</w:t>
      </w:r>
      <w:r>
        <w:t>可用office软件编辑</w:t>
      </w:r>
      <w:r>
        <w:rPr>
          <w:rFonts w:hint="eastAsia"/>
        </w:rPr>
        <w:t>的版本</w:t>
      </w:r>
      <w:r>
        <w:t>，</w:t>
      </w:r>
      <w:r>
        <w:rPr>
          <w:rFonts w:hint="eastAsia"/>
        </w:rPr>
        <w:t>且至少包含中英文两种语言版本</w:t>
      </w:r>
      <w:r>
        <w:t>。</w:t>
      </w:r>
    </w:p>
    <w:p w14:paraId="3DC56096">
      <w:pPr>
        <w:spacing w:line="360" w:lineRule="auto"/>
        <w:rPr>
          <w:color w:val="000000" w:themeColor="text1"/>
        </w:rPr>
      </w:pPr>
      <w:r>
        <w:rPr>
          <w:b/>
          <w:color w:val="8064A2" w:themeColor="accent4"/>
        </w:rPr>
        <w:t>5.2.3</w:t>
      </w:r>
      <w:r>
        <w:rPr>
          <w:color w:val="000000" w:themeColor="text1"/>
        </w:rPr>
        <w:t>乙方提供配件图册，</w:t>
      </w:r>
      <w:r>
        <w:rPr>
          <w:rFonts w:hint="eastAsia"/>
          <w:color w:val="000000" w:themeColor="text1"/>
        </w:rPr>
        <w:t>至少应覆盖的内容：关键件、易损件、维修件等明细。</w:t>
      </w:r>
    </w:p>
    <w:p w14:paraId="58172351">
      <w:pPr>
        <w:spacing w:line="360" w:lineRule="auto"/>
        <w:rPr>
          <w:color w:val="000000" w:themeColor="text1"/>
        </w:rPr>
      </w:pPr>
      <w:r>
        <w:rPr>
          <w:rFonts w:hint="eastAsia"/>
          <w:color w:val="000000" w:themeColor="text1"/>
        </w:rPr>
        <w:t>（关键件—导致车辆停运的零部件，安全性能方面零配件。易损件——是指车辆的维护类</w:t>
      </w:r>
    </w:p>
    <w:p w14:paraId="0AB2B671">
      <w:pPr>
        <w:spacing w:line="360" w:lineRule="auto"/>
        <w:rPr>
          <w:color w:val="000000" w:themeColor="text1"/>
        </w:rPr>
      </w:pPr>
      <w:r>
        <w:rPr>
          <w:rFonts w:hint="eastAsia"/>
          <w:color w:val="000000" w:themeColor="text1"/>
        </w:rPr>
        <w:t>零部件、车辆运行时损耗较快的零部件。维修件—通常需要对这些分总成或总成进行解体</w:t>
      </w:r>
    </w:p>
    <w:p w14:paraId="050DC2A1">
      <w:pPr>
        <w:spacing w:line="360" w:lineRule="auto"/>
        <w:rPr>
          <w:color w:val="000000" w:themeColor="text1"/>
        </w:rPr>
      </w:pPr>
      <w:r>
        <w:rPr>
          <w:rFonts w:hint="eastAsia"/>
          <w:color w:val="000000" w:themeColor="text1"/>
        </w:rPr>
        <w:t>大修时才需要这些零部件），</w:t>
      </w:r>
      <w:r>
        <w:rPr>
          <w:color w:val="000000" w:themeColor="text1"/>
        </w:rPr>
        <w:t>凡有不可单独销售的零件，必须注明不可销售。</w:t>
      </w:r>
    </w:p>
    <w:p w14:paraId="7BF04917">
      <w:pPr>
        <w:pStyle w:val="22"/>
        <w:spacing w:line="360" w:lineRule="auto"/>
        <w:ind w:firstLine="0" w:firstLineChars="0"/>
        <w:rPr>
          <w:rFonts w:ascii="Times New Roman" w:hAnsi="Times New Roman"/>
          <w:szCs w:val="24"/>
        </w:rPr>
      </w:pPr>
      <w:r>
        <w:rPr>
          <w:rFonts w:ascii="Times New Roman" w:hAnsi="Times New Roman"/>
          <w:szCs w:val="24"/>
        </w:rPr>
        <w:t>5.3人员对接要求</w:t>
      </w:r>
    </w:p>
    <w:p w14:paraId="4C30F6CF">
      <w:pPr>
        <w:pStyle w:val="22"/>
        <w:spacing w:line="360" w:lineRule="auto"/>
        <w:ind w:firstLine="0" w:firstLineChars="0"/>
        <w:rPr>
          <w:rFonts w:ascii="Times New Roman" w:hAnsi="Times New Roman"/>
        </w:rPr>
      </w:pPr>
      <w:r>
        <w:rPr>
          <w:rFonts w:ascii="Times New Roman" w:hAnsi="Times New Roman"/>
        </w:rPr>
        <w:t>乙方需书面或邮件形式向甲方提供资料对接人，期间若有人员变动，需人员变动之日起一周内将对接人员告知甲方。</w:t>
      </w:r>
    </w:p>
    <w:p w14:paraId="0D793BFE">
      <w:pPr>
        <w:pStyle w:val="22"/>
        <w:spacing w:line="360" w:lineRule="auto"/>
        <w:ind w:firstLine="0" w:firstLineChars="0"/>
        <w:rPr>
          <w:rFonts w:ascii="Times New Roman" w:hAnsi="Times New Roman"/>
          <w:szCs w:val="24"/>
        </w:rPr>
      </w:pPr>
      <w:r>
        <w:rPr>
          <w:rFonts w:ascii="Times New Roman" w:hAnsi="Times New Roman"/>
          <w:szCs w:val="24"/>
        </w:rPr>
        <w:t>5.4服务资料提供周期</w:t>
      </w:r>
    </w:p>
    <w:p w14:paraId="7EFF3C1D">
      <w:pPr>
        <w:spacing w:line="360" w:lineRule="auto"/>
      </w:pPr>
      <w:r>
        <w:t>5.4.1新物料（乙方首次向甲方供货的物料）、服务资料的提供时间要求与第一台装车物料同步提供。</w:t>
      </w:r>
    </w:p>
    <w:p w14:paraId="20B21142">
      <w:pPr>
        <w:spacing w:line="360" w:lineRule="auto"/>
      </w:pPr>
      <w:r>
        <w:t>5.4.2发动机、变速箱、悬架</w:t>
      </w:r>
      <w:r>
        <w:rPr>
          <w:rFonts w:hint="eastAsia"/>
        </w:rPr>
        <w:t>、新能源车三电系统</w:t>
      </w:r>
      <w:r>
        <w:t>提供周期为10天。</w:t>
      </w:r>
    </w:p>
    <w:p w14:paraId="6A4CDA08">
      <w:pPr>
        <w:spacing w:line="360" w:lineRule="auto"/>
      </w:pPr>
      <w:r>
        <w:t>5.4.3</w:t>
      </w:r>
      <w:r>
        <w:rPr>
          <w:rFonts w:hint="eastAsia"/>
        </w:rPr>
        <w:t>车桥、空调、新能源三电系统外的零部件提供周期为5天</w:t>
      </w:r>
      <w:r>
        <w:t>。</w:t>
      </w:r>
    </w:p>
    <w:p w14:paraId="21554292">
      <w:pPr>
        <w:spacing w:line="360" w:lineRule="auto"/>
      </w:pPr>
      <w:r>
        <w:t>5.4.4其他总成提供周期为3天。</w:t>
      </w:r>
    </w:p>
    <w:p w14:paraId="5EE79076">
      <w:pPr>
        <w:spacing w:line="360" w:lineRule="auto"/>
      </w:pPr>
      <w:r>
        <w:t>5.4.5单一代码需求提供周期为半天。</w:t>
      </w:r>
    </w:p>
    <w:p w14:paraId="749DEC42">
      <w:pPr>
        <w:spacing w:line="360" w:lineRule="auto"/>
      </w:pPr>
      <w:r>
        <w:t>5.5服务资料提供周期的界定</w:t>
      </w:r>
    </w:p>
    <w:p w14:paraId="697DA7AB">
      <w:pPr>
        <w:pStyle w:val="22"/>
        <w:spacing w:line="360" w:lineRule="auto"/>
        <w:ind w:firstLine="0" w:firstLineChars="0"/>
        <w:rPr>
          <w:rFonts w:ascii="Times New Roman" w:hAnsi="Times New Roman"/>
        </w:rPr>
      </w:pPr>
      <w:r>
        <w:rPr>
          <w:rFonts w:ascii="Times New Roman" w:hAnsi="Times New Roman"/>
        </w:rPr>
        <w:t>新物料以外的服务资料提供的起始点以甲方邮件、资料索取函发出需求时间为基准，服务资料结束点以甲方接收到资料的时间为结束点。</w:t>
      </w:r>
    </w:p>
    <w:p w14:paraId="14964987">
      <w:pPr>
        <w:pStyle w:val="22"/>
        <w:spacing w:line="360" w:lineRule="auto"/>
        <w:ind w:firstLine="0" w:firstLineChars="0"/>
        <w:rPr>
          <w:rFonts w:ascii="Times New Roman" w:hAnsi="Times New Roman"/>
          <w:szCs w:val="24"/>
        </w:rPr>
      </w:pPr>
      <w:r>
        <w:rPr>
          <w:rFonts w:ascii="Times New Roman" w:hAnsi="Times New Roman"/>
          <w:szCs w:val="24"/>
        </w:rPr>
        <w:t>5.6服务资料品质要求</w:t>
      </w:r>
    </w:p>
    <w:p w14:paraId="648F83ED">
      <w:pPr>
        <w:spacing w:line="360" w:lineRule="auto"/>
      </w:pPr>
      <w:r>
        <w:t>5.6.1零配件淘汰、升级等信息必须在一个月内通过邮件反馈给甲方。如果未能及时提供，甲方将默认没有变动。</w:t>
      </w:r>
    </w:p>
    <w:p w14:paraId="70C50AAA">
      <w:pPr>
        <w:pStyle w:val="22"/>
        <w:spacing w:line="360" w:lineRule="auto"/>
        <w:ind w:firstLine="0" w:firstLineChars="0"/>
        <w:rPr>
          <w:rFonts w:ascii="Times New Roman" w:hAnsi="Times New Roman"/>
          <w:szCs w:val="24"/>
        </w:rPr>
      </w:pPr>
      <w:r>
        <w:rPr>
          <w:rFonts w:ascii="Times New Roman" w:hAnsi="Times New Roman"/>
          <w:szCs w:val="24"/>
        </w:rPr>
        <w:t>5.6.2乙方必须对提供给甲方的服务资料的准确性、完整性负责。但资料的准确性、完整性的界定最终由甲方进行判定。</w:t>
      </w:r>
    </w:p>
    <w:p w14:paraId="5237075B">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7资料对接联系方式</w:t>
      </w:r>
    </w:p>
    <w:p w14:paraId="2422019B">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7</w:t>
      </w:r>
      <w:r>
        <w:rPr>
          <w:rFonts w:ascii="Times New Roman" w:hAnsi="Times New Roman"/>
          <w:szCs w:val="24"/>
        </w:rPr>
        <w:t>.1甲方服务资料、对接人员联系方式接收邮箱：</w:t>
      </w:r>
      <w:r>
        <w:fldChar w:fldCharType="begin"/>
      </w:r>
      <w:r>
        <w:instrText xml:space="preserve"> HYPERLINK "mailto:higerservice@higer.com" </w:instrText>
      </w:r>
      <w:r>
        <w:fldChar w:fldCharType="separate"/>
      </w:r>
      <w:r>
        <w:rPr>
          <w:rFonts w:ascii="Times New Roman" w:hAnsi="Times New Roman"/>
          <w:szCs w:val="24"/>
          <w:u w:val="single"/>
        </w:rPr>
        <w:t>higerservice@higer.com</w:t>
      </w:r>
      <w:r>
        <w:rPr>
          <w:rFonts w:ascii="Times New Roman" w:hAnsi="Times New Roman"/>
          <w:szCs w:val="24"/>
          <w:u w:val="single"/>
        </w:rPr>
        <w:fldChar w:fldCharType="end"/>
      </w:r>
      <w:r>
        <w:rPr>
          <w:rFonts w:ascii="Times New Roman" w:hAnsi="Times New Roman"/>
          <w:szCs w:val="24"/>
        </w:rPr>
        <w:t>（此邮箱只作为资料接收用）。服务资料问题咨询联系人：</w:t>
      </w:r>
      <w:r>
        <w:rPr>
          <w:rFonts w:hint="eastAsia" w:ascii="Times New Roman" w:hAnsi="Times New Roman"/>
          <w:szCs w:val="24"/>
          <w:u w:val="single"/>
        </w:rPr>
        <w:t xml:space="preserve">           </w:t>
      </w:r>
      <w:r>
        <w:rPr>
          <w:rFonts w:hint="eastAsia" w:ascii="Times New Roman" w:hAnsi="Times New Roman"/>
          <w:szCs w:val="24"/>
        </w:rPr>
        <w:t>联系电话：</w:t>
      </w:r>
      <w:r>
        <w:rPr>
          <w:rFonts w:hint="eastAsia" w:ascii="Times New Roman" w:hAnsi="Times New Roman"/>
          <w:szCs w:val="24"/>
          <w:u w:val="single"/>
        </w:rPr>
        <w:t xml:space="preserve">                 </w:t>
      </w:r>
      <w:r>
        <w:rPr>
          <w:rFonts w:hint="eastAsia" w:ascii="Times New Roman" w:hAnsi="Times New Roman"/>
          <w:szCs w:val="24"/>
        </w:rPr>
        <w:t xml:space="preserve">              </w:t>
      </w:r>
    </w:p>
    <w:p w14:paraId="47A45F17">
      <w:pPr>
        <w:pStyle w:val="22"/>
        <w:spacing w:line="360" w:lineRule="auto"/>
        <w:ind w:firstLine="0" w:firstLineChars="0"/>
        <w:rPr>
          <w:rFonts w:ascii="Times New Roman" w:hAnsi="Times New Roman"/>
          <w:szCs w:val="24"/>
        </w:rPr>
      </w:pPr>
      <w:r>
        <w:rPr>
          <w:rFonts w:ascii="Times New Roman" w:hAnsi="Times New Roman"/>
          <w:szCs w:val="24"/>
        </w:rPr>
        <w:t>维修手册、使用说明书</w:t>
      </w:r>
      <w:r>
        <w:rPr>
          <w:rFonts w:hint="eastAsia" w:ascii="Times New Roman" w:hAnsi="Times New Roman"/>
          <w:szCs w:val="24"/>
        </w:rPr>
        <w:t>、</w:t>
      </w:r>
      <w:r>
        <w:rPr>
          <w:rFonts w:ascii="Times New Roman" w:hAnsi="Times New Roman"/>
          <w:szCs w:val="24"/>
        </w:rPr>
        <w:t>配件图册</w:t>
      </w:r>
      <w:r>
        <w:rPr>
          <w:rFonts w:hint="eastAsia" w:ascii="Times New Roman" w:hAnsi="Times New Roman"/>
          <w:szCs w:val="24"/>
        </w:rPr>
        <w:t>联系人</w:t>
      </w:r>
      <w:r>
        <w:rPr>
          <w:rFonts w:ascii="Times New Roman" w:hAnsi="Times New Roman"/>
          <w:szCs w:val="24"/>
        </w:rPr>
        <w:t>：</w:t>
      </w:r>
      <w:r>
        <w:rPr>
          <w:rFonts w:hint="eastAsia" w:ascii="Times New Roman" w:hAnsi="Times New Roman"/>
          <w:szCs w:val="24"/>
          <w:u w:val="single"/>
        </w:rPr>
        <w:t xml:space="preserve">             </w:t>
      </w:r>
      <w:r>
        <w:rPr>
          <w:rFonts w:hint="eastAsia" w:ascii="Times New Roman" w:hAnsi="Times New Roman"/>
          <w:szCs w:val="24"/>
        </w:rPr>
        <w:t>联系电话：</w:t>
      </w:r>
      <w:r>
        <w:rPr>
          <w:rFonts w:hint="eastAsia" w:ascii="Times New Roman" w:hAnsi="Times New Roman"/>
          <w:szCs w:val="24"/>
          <w:u w:val="single"/>
        </w:rPr>
        <w:t xml:space="preserve">                  </w:t>
      </w:r>
      <w:r>
        <w:rPr>
          <w:rFonts w:ascii="Times New Roman" w:hAnsi="Times New Roman"/>
          <w:szCs w:val="24"/>
        </w:rPr>
        <w:t xml:space="preserve"> </w:t>
      </w:r>
    </w:p>
    <w:p w14:paraId="07E0CFA6">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7</w:t>
      </w:r>
      <w:r>
        <w:rPr>
          <w:rFonts w:ascii="Times New Roman" w:hAnsi="Times New Roman"/>
          <w:szCs w:val="24"/>
        </w:rPr>
        <w:t xml:space="preserve">.2 </w:t>
      </w:r>
      <w:r>
        <w:rPr>
          <w:rFonts w:hint="eastAsia" w:ascii="Times New Roman" w:hAnsi="Times New Roman"/>
          <w:szCs w:val="24"/>
        </w:rPr>
        <w:t>乙方</w:t>
      </w:r>
      <w:r>
        <w:rPr>
          <w:rFonts w:ascii="Times New Roman" w:hAnsi="Times New Roman"/>
          <w:szCs w:val="24"/>
        </w:rPr>
        <w:t>服务资料问题咨询联系人：</w:t>
      </w:r>
      <w:r>
        <w:rPr>
          <w:rFonts w:hint="eastAsia" w:ascii="Times New Roman" w:hAnsi="Times New Roman"/>
          <w:szCs w:val="24"/>
          <w:u w:val="single"/>
        </w:rPr>
        <w:t xml:space="preserve">           </w:t>
      </w:r>
      <w:r>
        <w:rPr>
          <w:rFonts w:hint="eastAsia" w:ascii="Times New Roman" w:hAnsi="Times New Roman"/>
          <w:szCs w:val="24"/>
        </w:rPr>
        <w:t>联系电话：</w:t>
      </w:r>
      <w:r>
        <w:rPr>
          <w:rFonts w:hint="eastAsia" w:ascii="Times New Roman" w:hAnsi="Times New Roman"/>
          <w:szCs w:val="24"/>
          <w:u w:val="single"/>
        </w:rPr>
        <w:t xml:space="preserve">                 </w:t>
      </w:r>
      <w:r>
        <w:rPr>
          <w:rFonts w:hint="eastAsia" w:ascii="Times New Roman" w:hAnsi="Times New Roman"/>
          <w:szCs w:val="24"/>
        </w:rPr>
        <w:t xml:space="preserve">              </w:t>
      </w:r>
    </w:p>
    <w:p w14:paraId="568AC20F">
      <w:pPr>
        <w:pStyle w:val="22"/>
        <w:spacing w:line="360" w:lineRule="auto"/>
        <w:ind w:firstLine="0" w:firstLineChars="0"/>
        <w:rPr>
          <w:rFonts w:ascii="Times New Roman" w:hAnsi="Times New Roman"/>
          <w:szCs w:val="24"/>
        </w:rPr>
      </w:pPr>
      <w:r>
        <w:rPr>
          <w:rFonts w:ascii="Times New Roman" w:hAnsi="Times New Roman"/>
          <w:szCs w:val="24"/>
        </w:rPr>
        <w:t>维修手册、使用说明书</w:t>
      </w:r>
      <w:r>
        <w:rPr>
          <w:rFonts w:hint="eastAsia" w:ascii="Times New Roman" w:hAnsi="Times New Roman"/>
          <w:szCs w:val="24"/>
        </w:rPr>
        <w:t>、</w:t>
      </w:r>
      <w:r>
        <w:rPr>
          <w:rFonts w:ascii="Times New Roman" w:hAnsi="Times New Roman"/>
          <w:szCs w:val="24"/>
        </w:rPr>
        <w:t>配件图册</w:t>
      </w:r>
      <w:r>
        <w:rPr>
          <w:rFonts w:hint="eastAsia" w:ascii="Times New Roman" w:hAnsi="Times New Roman"/>
          <w:szCs w:val="24"/>
        </w:rPr>
        <w:t>联系人</w:t>
      </w:r>
      <w:r>
        <w:rPr>
          <w:rFonts w:ascii="Times New Roman" w:hAnsi="Times New Roman"/>
          <w:szCs w:val="24"/>
        </w:rPr>
        <w:t>：</w:t>
      </w:r>
      <w:r>
        <w:rPr>
          <w:rFonts w:hint="eastAsia" w:ascii="Times New Roman" w:hAnsi="Times New Roman"/>
          <w:szCs w:val="24"/>
          <w:u w:val="single"/>
        </w:rPr>
        <w:t xml:space="preserve">             </w:t>
      </w:r>
      <w:r>
        <w:rPr>
          <w:rFonts w:hint="eastAsia" w:ascii="Times New Roman" w:hAnsi="Times New Roman"/>
          <w:szCs w:val="24"/>
        </w:rPr>
        <w:t>联系电话：</w:t>
      </w:r>
      <w:r>
        <w:rPr>
          <w:rFonts w:hint="eastAsia" w:ascii="Times New Roman" w:hAnsi="Times New Roman"/>
          <w:szCs w:val="24"/>
          <w:u w:val="single"/>
        </w:rPr>
        <w:t xml:space="preserve">                  </w:t>
      </w:r>
      <w:r>
        <w:rPr>
          <w:rFonts w:ascii="Times New Roman" w:hAnsi="Times New Roman"/>
          <w:szCs w:val="24"/>
        </w:rPr>
        <w:t xml:space="preserve"> </w:t>
      </w:r>
    </w:p>
    <w:p w14:paraId="2443A07A">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7</w:t>
      </w:r>
      <w:r>
        <w:rPr>
          <w:rFonts w:ascii="Times New Roman" w:hAnsi="Times New Roman"/>
          <w:szCs w:val="24"/>
        </w:rPr>
        <w:t>.3标准模板《服务资料标准模版》及《需求服务资料项目表》需</w:t>
      </w:r>
      <w:r>
        <w:rPr>
          <w:rFonts w:hint="eastAsia" w:ascii="Times New Roman" w:hAnsi="Times New Roman"/>
          <w:szCs w:val="24"/>
        </w:rPr>
        <w:t>乙方向甲方</w:t>
      </w:r>
      <w:r>
        <w:rPr>
          <w:rFonts w:ascii="Times New Roman" w:hAnsi="Times New Roman"/>
          <w:szCs w:val="24"/>
        </w:rPr>
        <w:t>获取</w:t>
      </w:r>
      <w:r>
        <w:rPr>
          <w:rFonts w:hint="eastAsia" w:ascii="Times New Roman" w:hAnsi="Times New Roman"/>
          <w:szCs w:val="24"/>
        </w:rPr>
        <w:t>。</w:t>
      </w:r>
    </w:p>
    <w:p w14:paraId="517038CB">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8违反规范的处理</w:t>
      </w:r>
    </w:p>
    <w:p w14:paraId="593FA0BB">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8</w:t>
      </w:r>
      <w:r>
        <w:rPr>
          <w:rFonts w:ascii="Times New Roman" w:hAnsi="Times New Roman"/>
          <w:szCs w:val="24"/>
        </w:rPr>
        <w:t>.1</w:t>
      </w:r>
      <w:r>
        <w:rPr>
          <w:rFonts w:hint="eastAsia" w:ascii="Times New Roman" w:hAnsi="Times New Roman"/>
          <w:szCs w:val="24"/>
        </w:rPr>
        <w:t>乙方</w:t>
      </w:r>
      <w:r>
        <w:rPr>
          <w:rFonts w:ascii="Times New Roman" w:hAnsi="Times New Roman"/>
          <w:szCs w:val="24"/>
        </w:rPr>
        <w:t>向甲方</w:t>
      </w:r>
      <w:r>
        <w:rPr>
          <w:rFonts w:hint="eastAsia" w:ascii="Times New Roman" w:hAnsi="Times New Roman"/>
          <w:szCs w:val="24"/>
        </w:rPr>
        <w:t>提供</w:t>
      </w:r>
      <w:r>
        <w:rPr>
          <w:rFonts w:ascii="Times New Roman" w:hAnsi="Times New Roman"/>
          <w:szCs w:val="24"/>
        </w:rPr>
        <w:t>新物料时，未同步提供服务资料，乙方向甲方支付200元/一种资料的违约金。</w:t>
      </w:r>
    </w:p>
    <w:p w14:paraId="79060FBB">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8</w:t>
      </w:r>
      <w:r>
        <w:rPr>
          <w:rFonts w:ascii="Times New Roman" w:hAnsi="Times New Roman"/>
          <w:szCs w:val="24"/>
        </w:rPr>
        <w:t>.2服务资料超过规定提供周期，每一种资料每逾期一个工作日，乙方向甲方支付50元/工作日的违约金。</w:t>
      </w:r>
    </w:p>
    <w:p w14:paraId="7896650D">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8</w:t>
      </w:r>
      <w:r>
        <w:rPr>
          <w:rFonts w:ascii="Times New Roman" w:hAnsi="Times New Roman"/>
          <w:szCs w:val="24"/>
        </w:rPr>
        <w:t>.3单一代码超过规定提供周期，每个代码每逾期一个工作日，乙方向甲方支付60元/工作日的违约金。</w:t>
      </w:r>
    </w:p>
    <w:p w14:paraId="3CAFA81F">
      <w:pPr>
        <w:pStyle w:val="22"/>
        <w:spacing w:line="360" w:lineRule="auto"/>
        <w:ind w:firstLine="0" w:firstLineChars="0"/>
        <w:rPr>
          <w:rFonts w:ascii="Times New Roman" w:hAnsi="Times New Roman"/>
          <w:szCs w:val="24"/>
        </w:rPr>
      </w:pPr>
      <w:r>
        <w:rPr>
          <w:rFonts w:ascii="Times New Roman" w:hAnsi="Times New Roman"/>
          <w:szCs w:val="24"/>
        </w:rPr>
        <w:t>5.</w:t>
      </w:r>
      <w:r>
        <w:rPr>
          <w:rFonts w:hint="eastAsia" w:ascii="Times New Roman" w:hAnsi="Times New Roman"/>
          <w:szCs w:val="24"/>
        </w:rPr>
        <w:t>8</w:t>
      </w:r>
      <w:r>
        <w:rPr>
          <w:rFonts w:ascii="Times New Roman" w:hAnsi="Times New Roman"/>
          <w:szCs w:val="24"/>
        </w:rPr>
        <w:t>.4如果因乙方提供的服务资料造成甲方配件错发、客户投诉的，所有损失均由乙方承担。如果配件错发、客户投诉次数单月累计超过5次，乙方在承担所有损失的基础上追加支付给甲方不低于3000元的违约金。</w:t>
      </w:r>
    </w:p>
    <w:p w14:paraId="39D1859A">
      <w:pPr>
        <w:pStyle w:val="22"/>
        <w:spacing w:line="360" w:lineRule="auto"/>
        <w:ind w:firstLine="0" w:firstLineChars="0"/>
        <w:rPr>
          <w:rFonts w:ascii="Times New Roman" w:hAnsi="Times New Roman"/>
          <w:szCs w:val="24"/>
        </w:rPr>
      </w:pPr>
    </w:p>
    <w:p w14:paraId="35FF44B4">
      <w:pPr>
        <w:spacing w:line="360" w:lineRule="auto"/>
        <w:rPr>
          <w:b/>
          <w:szCs w:val="21"/>
        </w:rPr>
      </w:pPr>
      <w:r>
        <w:rPr>
          <w:b/>
          <w:szCs w:val="21"/>
        </w:rPr>
        <w:t>六．付款政策及价格</w:t>
      </w:r>
    </w:p>
    <w:p w14:paraId="1CFB8C7A">
      <w:pPr>
        <w:tabs>
          <w:tab w:val="left" w:pos="7100"/>
          <w:tab w:val="left" w:pos="8300"/>
        </w:tabs>
        <w:spacing w:line="360" w:lineRule="auto"/>
        <w:rPr>
          <w:szCs w:val="21"/>
        </w:rPr>
      </w:pPr>
      <w:r>
        <w:rPr>
          <w:szCs w:val="21"/>
        </w:rPr>
        <w:t>6.1 付款政策</w:t>
      </w:r>
    </w:p>
    <w:p w14:paraId="7948EB0D">
      <w:pPr>
        <w:tabs>
          <w:tab w:val="left" w:pos="7100"/>
          <w:tab w:val="left" w:pos="8300"/>
        </w:tabs>
        <w:spacing w:line="360" w:lineRule="auto"/>
        <w:rPr>
          <w:szCs w:val="21"/>
        </w:rPr>
      </w:pPr>
      <w:r>
        <w:rPr>
          <w:szCs w:val="21"/>
        </w:rPr>
        <w:t>6.1.1乙方收款所需的详细资料如下：</w:t>
      </w:r>
    </w:p>
    <w:p w14:paraId="7D6E3D8B">
      <w:pPr>
        <w:tabs>
          <w:tab w:val="left" w:pos="7100"/>
          <w:tab w:val="left" w:pos="8300"/>
        </w:tabs>
        <w:spacing w:line="360" w:lineRule="auto"/>
        <w:rPr>
          <w:szCs w:val="21"/>
          <w:u w:val="single"/>
        </w:rPr>
      </w:pPr>
      <w:r>
        <w:rPr>
          <w:szCs w:val="21"/>
        </w:rPr>
        <w:t>全称：</w:t>
      </w:r>
      <w:r>
        <w:rPr>
          <w:szCs w:val="21"/>
          <w:u w:val="single"/>
        </w:rPr>
        <w:t xml:space="preserve">                                </w:t>
      </w:r>
    </w:p>
    <w:p w14:paraId="093BE606">
      <w:pPr>
        <w:tabs>
          <w:tab w:val="left" w:pos="7100"/>
          <w:tab w:val="left" w:pos="8300"/>
        </w:tabs>
        <w:spacing w:line="360" w:lineRule="auto"/>
        <w:rPr>
          <w:szCs w:val="21"/>
          <w:u w:val="single"/>
        </w:rPr>
      </w:pPr>
      <w:r>
        <w:rPr>
          <w:szCs w:val="21"/>
        </w:rPr>
        <w:t>开户行：</w:t>
      </w:r>
      <w:r>
        <w:rPr>
          <w:szCs w:val="21"/>
          <w:u w:val="single"/>
        </w:rPr>
        <w:t xml:space="preserve">                              </w:t>
      </w:r>
    </w:p>
    <w:p w14:paraId="59F436A4">
      <w:pPr>
        <w:tabs>
          <w:tab w:val="left" w:pos="7100"/>
          <w:tab w:val="left" w:pos="8300"/>
        </w:tabs>
        <w:spacing w:line="360" w:lineRule="auto"/>
        <w:rPr>
          <w:szCs w:val="21"/>
          <w:u w:val="single"/>
        </w:rPr>
      </w:pPr>
      <w:r>
        <w:rPr>
          <w:szCs w:val="21"/>
        </w:rPr>
        <w:t>帐号：</w:t>
      </w:r>
      <w:r>
        <w:rPr>
          <w:szCs w:val="21"/>
          <w:u w:val="single"/>
        </w:rPr>
        <w:t xml:space="preserve">                                </w:t>
      </w:r>
    </w:p>
    <w:p w14:paraId="08E10FD7">
      <w:pPr>
        <w:tabs>
          <w:tab w:val="left" w:pos="7100"/>
          <w:tab w:val="left" w:pos="8300"/>
        </w:tabs>
        <w:spacing w:line="360" w:lineRule="auto"/>
        <w:rPr>
          <w:szCs w:val="21"/>
        </w:rPr>
      </w:pPr>
      <w:r>
        <w:rPr>
          <w:szCs w:val="21"/>
        </w:rPr>
        <w:t>上述信息的变动，乙方必须及时的书面通知甲方，否则甲方不承担错误支付的责任，</w:t>
      </w:r>
      <w:r>
        <w:t>并且有权要求乙方承担损失</w:t>
      </w:r>
      <w:r>
        <w:rPr>
          <w:szCs w:val="21"/>
        </w:rPr>
        <w:t>。</w:t>
      </w:r>
    </w:p>
    <w:p w14:paraId="3D2971EA">
      <w:pPr>
        <w:pStyle w:val="22"/>
        <w:spacing w:line="360" w:lineRule="auto"/>
        <w:ind w:firstLine="0" w:firstLineChars="0"/>
        <w:rPr>
          <w:rFonts w:ascii="Times New Roman" w:hAnsi="Times New Roman"/>
          <w:szCs w:val="24"/>
        </w:rPr>
      </w:pPr>
      <w:r>
        <w:rPr>
          <w:rFonts w:ascii="Times New Roman" w:hAnsi="Times New Roman"/>
          <w:szCs w:val="24"/>
        </w:rPr>
        <w:t>6.1.2生产配套类供应商，结算方式执行乙方与甲方供应部签订的生产物料采购协议中有关货款结算条款</w:t>
      </w:r>
    </w:p>
    <w:p w14:paraId="7A03EA6E">
      <w:pPr>
        <w:pStyle w:val="22"/>
        <w:spacing w:line="360" w:lineRule="auto"/>
        <w:ind w:firstLine="0" w:firstLineChars="0"/>
        <w:rPr>
          <w:rFonts w:ascii="Times New Roman" w:hAnsi="Times New Roman"/>
          <w:szCs w:val="24"/>
        </w:rPr>
      </w:pPr>
      <w:r>
        <w:rPr>
          <w:rFonts w:ascii="Times New Roman" w:hAnsi="Times New Roman"/>
          <w:szCs w:val="24"/>
        </w:rPr>
        <w:t>6.1.3 非生产配套类供应商，除甲乙双方有特殊约定外，乙方货物验收合格且收到乙方符合要求的票据，经甲方财务挂账后30个自然日内支付（上期应付余额+货到票到 30 天应付款余额-质保金）*85%±5%。结算类型：□可用承兑或电汇  □其他：</w:t>
      </w:r>
    </w:p>
    <w:p w14:paraId="034588A8">
      <w:pPr>
        <w:pStyle w:val="22"/>
        <w:spacing w:line="360" w:lineRule="auto"/>
        <w:ind w:firstLine="0" w:firstLineChars="0"/>
        <w:rPr>
          <w:rFonts w:ascii="Times New Roman" w:hAnsi="Times New Roman"/>
          <w:szCs w:val="24"/>
        </w:rPr>
      </w:pPr>
      <w:r>
        <w:rPr>
          <w:rFonts w:ascii="Times New Roman" w:hAnsi="Times New Roman"/>
          <w:szCs w:val="24"/>
        </w:rPr>
        <w:t>6.1.4非生产配套类供应商，乙方在甲方保留人民币      元（大写：     万元）作为配件产品质量保证金，每年一月份对质保金的金额，按上一年采购总额为基础进行调整。乙方停止供货后18个月，并提出退出甲方的供应商体系时，甲方按供应商退出程序将质量保证金支付给乙方。</w:t>
      </w:r>
    </w:p>
    <w:p w14:paraId="1D9850E7">
      <w:pPr>
        <w:pStyle w:val="22"/>
        <w:spacing w:line="360" w:lineRule="auto"/>
        <w:ind w:firstLine="0" w:firstLineChars="0"/>
        <w:rPr>
          <w:b/>
          <w:szCs w:val="21"/>
        </w:rPr>
      </w:pPr>
      <w:r>
        <w:rPr>
          <w:rFonts w:ascii="Times New Roman" w:hAnsi="Times New Roman"/>
          <w:szCs w:val="24"/>
        </w:rPr>
        <w:t>6.1.5 发票邮寄地址：苏州工业园区唯新路89号，金龙联合汽车工业（苏州）有限公司客户服务部×××收，邮编215000。如乙方未按照指定地址寄送发票造成发票遗失，损失由乙方自</w:t>
      </w:r>
      <w:r>
        <w:rPr>
          <w:szCs w:val="21"/>
        </w:rPr>
        <w:t>行承担，发票也可以自行送达至甲方相关配件采购工程师处。甲方开票资料见</w:t>
      </w:r>
      <w:r>
        <w:rPr>
          <w:b/>
          <w:szCs w:val="21"/>
        </w:rPr>
        <w:t>附件</w:t>
      </w:r>
      <w:r>
        <w:rPr>
          <w:rFonts w:hint="eastAsia"/>
          <w:b/>
          <w:szCs w:val="21"/>
        </w:rPr>
        <w:t>5</w:t>
      </w:r>
      <w:r>
        <w:rPr>
          <w:b/>
          <w:szCs w:val="21"/>
        </w:rPr>
        <w:t>。</w:t>
      </w:r>
    </w:p>
    <w:p w14:paraId="7764666A">
      <w:pPr>
        <w:tabs>
          <w:tab w:val="left" w:pos="7100"/>
          <w:tab w:val="left" w:pos="8300"/>
        </w:tabs>
        <w:spacing w:line="360" w:lineRule="auto"/>
      </w:pPr>
      <w:r>
        <w:rPr>
          <w:szCs w:val="21"/>
        </w:rPr>
        <w:t>6.1.6.</w:t>
      </w:r>
      <w:r>
        <w:t>结算方式条款（可选）乙方同意执行</w:t>
      </w:r>
      <w:r>
        <w:rPr>
          <w:rFonts w:ascii="宋体" w:hAnsi="宋体"/>
        </w:rPr>
        <w:t>□</w:t>
      </w:r>
      <w:r>
        <w:rPr>
          <w:b/>
          <w:u w:val="single"/>
        </w:rPr>
        <w:t>标准到货结算方式</w:t>
      </w:r>
      <w:r>
        <w:t xml:space="preserve"> –入库结算方式  </w:t>
      </w:r>
      <w:r>
        <w:rPr>
          <w:rFonts w:ascii="宋体" w:hAnsi="宋体"/>
        </w:rPr>
        <w:t>□</w:t>
      </w:r>
      <w:r>
        <w:rPr>
          <w:b/>
        </w:rPr>
        <w:t>VMI管理模式</w:t>
      </w:r>
      <w:r>
        <w:t>-即乙方根据甲方的供货计划、并将配件送至甲方仓库，此配件在甲方出库后结算，未使用的配件所有权仍归属乙方。</w:t>
      </w:r>
    </w:p>
    <w:p w14:paraId="61B9DFB3">
      <w:pPr>
        <w:tabs>
          <w:tab w:val="left" w:pos="7100"/>
          <w:tab w:val="left" w:pos="8300"/>
        </w:tabs>
        <w:spacing w:line="360" w:lineRule="auto"/>
      </w:pPr>
      <w:r>
        <w:t>6.1.7对于价格生效的物料乙方应及时开具增值税发票。否则按甲方财务规定执行。</w:t>
      </w:r>
    </w:p>
    <w:p w14:paraId="32C7C526">
      <w:pPr>
        <w:tabs>
          <w:tab w:val="left" w:pos="7100"/>
          <w:tab w:val="left" w:pos="8300"/>
        </w:tabs>
        <w:spacing w:line="360" w:lineRule="auto"/>
      </w:pPr>
      <w:r>
        <w:t>6.2  价格</w:t>
      </w:r>
    </w:p>
    <w:p w14:paraId="34E30498">
      <w:pPr>
        <w:spacing w:line="360" w:lineRule="auto"/>
        <w:rPr>
          <w:b/>
          <w:sz w:val="30"/>
        </w:rPr>
      </w:pPr>
      <w:r>
        <w:t>6.2.1 产品的价格以</w:t>
      </w:r>
      <w:r>
        <w:rPr>
          <w:rFonts w:hint="eastAsia"/>
        </w:rPr>
        <w:t>甲方系统审核生效的配件价格</w:t>
      </w:r>
      <w:r>
        <w:t>为准。</w:t>
      </w:r>
    </w:p>
    <w:p w14:paraId="04340121">
      <w:pPr>
        <w:spacing w:line="360" w:lineRule="auto"/>
      </w:pPr>
      <w:r>
        <w:t>如协议执行期间价格有变化，乙方必须提前一个月告知甲方，对于涨价的物料最新价格在甲乙双方确认一个月后执行。</w:t>
      </w:r>
    </w:p>
    <w:p w14:paraId="5A1C1485">
      <w:pPr>
        <w:pStyle w:val="3"/>
        <w:ind w:firstLine="0"/>
        <w:rPr>
          <w:rFonts w:hint="default" w:ascii="Times New Roman"/>
          <w:sz w:val="21"/>
          <w:szCs w:val="24"/>
        </w:rPr>
      </w:pPr>
      <w:r>
        <w:rPr>
          <w:rFonts w:hint="default" w:ascii="Times New Roman"/>
          <w:sz w:val="21"/>
          <w:szCs w:val="24"/>
        </w:rPr>
        <w:t>6.2.2 对于乙方供应甲方生产用的物料，乙方供应甲方客户服务部的价格不得高于生产配套价格；对于乙方在生产报价核算中所涉及的有明确报价的关键零部件部分，乙方对甲方客户服务部的报价不得高于乙方在生产报价核算中所涉及的关键零部件报价。</w:t>
      </w:r>
    </w:p>
    <w:p w14:paraId="024C21BD">
      <w:pPr>
        <w:spacing w:line="360" w:lineRule="auto"/>
      </w:pPr>
      <w:r>
        <w:t>6.2.3 乙方承诺供应甲方的配件价格不得高于乙方配件成本的8%、即对于一个独立的总成产品而言，其装配零件明细清单中所有零件产品的配件报价与装配所需数量之积累计汇总总金额不得高于总成产品配套报价的8%。</w:t>
      </w:r>
    </w:p>
    <w:p w14:paraId="3DB706F5">
      <w:pPr>
        <w:autoSpaceDE w:val="0"/>
        <w:autoSpaceDN w:val="0"/>
        <w:adjustRightInd w:val="0"/>
        <w:spacing w:line="360" w:lineRule="auto"/>
        <w:ind w:right="26"/>
      </w:pPr>
      <w:r>
        <w:t>6.2.4 乙方应保证向甲方所供货物的价格为乙方同期所售同类货物的最低价，甲方如发现乙方以低于售给甲方的价格（无论是否含税，以最终售价绝对值计算）售于第三方，甲方有权以最低价与乙方结算，同时，甲方对已经结算，多支付给乙方的部分货款，乙方应当予以返还，并按所涉及货物货款总额的10％向甲方支付违约金。如乙方确实有特殊原因无法做到本条款，需征经甲方同意并签字盖章，以附件书面的形式附于本协议后。</w:t>
      </w:r>
    </w:p>
    <w:p w14:paraId="3192C0CB">
      <w:pPr>
        <w:autoSpaceDE w:val="0"/>
        <w:autoSpaceDN w:val="0"/>
        <w:adjustRightInd w:val="0"/>
        <w:spacing w:line="360" w:lineRule="auto"/>
        <w:ind w:right="26"/>
      </w:pPr>
    </w:p>
    <w:p w14:paraId="65FB09C7">
      <w:pPr>
        <w:autoSpaceDE w:val="0"/>
        <w:autoSpaceDN w:val="0"/>
        <w:adjustRightInd w:val="0"/>
        <w:spacing w:line="360" w:lineRule="auto"/>
        <w:ind w:right="26"/>
        <w:rPr>
          <w:b/>
          <w:color w:val="000000" w:themeColor="text1"/>
        </w:rPr>
      </w:pPr>
      <w:r>
        <w:rPr>
          <w:color w:val="000000" w:themeColor="text1"/>
        </w:rPr>
        <w:t>6.3</w:t>
      </w:r>
      <w:r>
        <w:rPr>
          <w:rFonts w:hint="eastAsia"/>
          <w:b/>
          <w:color w:val="000000" w:themeColor="text1"/>
        </w:rPr>
        <w:t>产品报价规范</w:t>
      </w:r>
    </w:p>
    <w:p w14:paraId="6AB315EB">
      <w:pPr>
        <w:spacing w:line="360" w:lineRule="auto"/>
      </w:pPr>
      <w:r>
        <w:t>6.3.1 乙方在接收到甲方安排的新物料时，必须在1个工作日内将新物料的大致价格（暂估价）报给甲方相关配件供应商管理工程师。乙方需在入库前确定产品价格，乙方提供的最终报价不得高于暂估价，否则甲方有权以暂估价和最终报价的最低价与乙方结算。如果乙方在新产品入库后还未提供最终报价，视同乙方放弃该批物料的结算权利，并同意将该批物料免费赠送给甲方。</w:t>
      </w:r>
    </w:p>
    <w:p w14:paraId="735CD786">
      <w:pPr>
        <w:spacing w:line="360" w:lineRule="auto"/>
      </w:pPr>
      <w:r>
        <w:rPr>
          <w:rFonts w:hint="eastAsia"/>
        </w:rPr>
        <w:t>6.3.2乙方配件价格政策调整要及时通知甲方，否则造成甲方损失的，甲方有权按照损失金额的十倍给予处罚。乙方配件价格发生调整后，甲方库存配件按原价格执行。</w:t>
      </w:r>
    </w:p>
    <w:p w14:paraId="4BC512E2">
      <w:pPr>
        <w:spacing w:line="360" w:lineRule="auto"/>
      </w:pPr>
      <w:r>
        <w:t>6.3.3 所有配件报价均需乙方在甲方供应商管理网站按要求进行网上申报，申报价格需挂入价格申报依据，无申报依据，甲方客户服务部配件供应商管理工程师将给予退回。</w:t>
      </w:r>
    </w:p>
    <w:p w14:paraId="627254D2">
      <w:pPr>
        <w:spacing w:line="360" w:lineRule="auto"/>
      </w:pPr>
    </w:p>
    <w:p w14:paraId="572CEBA2">
      <w:pPr>
        <w:spacing w:line="360" w:lineRule="auto"/>
        <w:rPr>
          <w:b/>
          <w:szCs w:val="21"/>
        </w:rPr>
      </w:pPr>
      <w:r>
        <w:rPr>
          <w:b/>
          <w:szCs w:val="21"/>
        </w:rPr>
        <w:t>七、网站使用协议</w:t>
      </w:r>
    </w:p>
    <w:p w14:paraId="71587C8A">
      <w:pPr>
        <w:spacing w:line="360" w:lineRule="auto"/>
        <w:rPr>
          <w:szCs w:val="21"/>
        </w:rPr>
      </w:pPr>
      <w:r>
        <w:rPr>
          <w:szCs w:val="21"/>
        </w:rPr>
        <w:t>7.1  甲方的权利和义务</w:t>
      </w:r>
    </w:p>
    <w:p w14:paraId="6AAEC067">
      <w:pPr>
        <w:spacing w:line="360" w:lineRule="auto"/>
        <w:rPr>
          <w:szCs w:val="21"/>
        </w:rPr>
      </w:pPr>
      <w:r>
        <w:rPr>
          <w:szCs w:val="21"/>
        </w:rPr>
        <w:t>7.1.1</w:t>
      </w:r>
      <w:r>
        <w:rPr>
          <w:rFonts w:hint="eastAsia"/>
          <w:szCs w:val="21"/>
        </w:rPr>
        <w:t>甲方供应部</w:t>
      </w:r>
      <w:r>
        <w:rPr>
          <w:szCs w:val="21"/>
        </w:rPr>
        <w:t>负责</w:t>
      </w:r>
      <w:r>
        <w:rPr>
          <w:rFonts w:hint="eastAsia"/>
          <w:szCs w:val="21"/>
        </w:rPr>
        <w:t>开通【</w:t>
      </w:r>
      <w:r>
        <w:rPr>
          <w:szCs w:val="21"/>
        </w:rPr>
        <w:t>供应商管理网</w:t>
      </w:r>
      <w:r>
        <w:rPr>
          <w:rFonts w:hint="eastAsia"/>
          <w:szCs w:val="21"/>
        </w:rPr>
        <w:t>】，供乙方</w:t>
      </w:r>
      <w:r>
        <w:rPr>
          <w:szCs w:val="21"/>
        </w:rPr>
        <w:t>进行相关业务</w:t>
      </w:r>
      <w:r>
        <w:rPr>
          <w:rFonts w:hint="eastAsia"/>
          <w:szCs w:val="21"/>
        </w:rPr>
        <w:t>操作</w:t>
      </w:r>
      <w:r>
        <w:rPr>
          <w:szCs w:val="21"/>
        </w:rPr>
        <w:t>。</w:t>
      </w:r>
    </w:p>
    <w:p w14:paraId="4D181C70">
      <w:pPr>
        <w:spacing w:line="360" w:lineRule="auto"/>
        <w:rPr>
          <w:szCs w:val="21"/>
        </w:rPr>
      </w:pPr>
      <w:r>
        <w:rPr>
          <w:szCs w:val="21"/>
        </w:rPr>
        <w:t>7.1.2负责维护该网站的正常运作。但由于非故意及不可抗拒的原因 （如：系统维护和升级、电信营运商系统维护），导致的用户数据信息损失、服务暂时中断、停止，甲方将不承担赔偿及其他连带的法律责任。</w:t>
      </w:r>
    </w:p>
    <w:p w14:paraId="3107D98B">
      <w:pPr>
        <w:spacing w:line="360" w:lineRule="auto"/>
        <w:rPr>
          <w:szCs w:val="21"/>
        </w:rPr>
      </w:pPr>
      <w:r>
        <w:rPr>
          <w:szCs w:val="21"/>
        </w:rPr>
        <w:t>7.1.3负责提供帐号给乙方，</w:t>
      </w:r>
      <w:r>
        <w:rPr>
          <w:rFonts w:hint="eastAsia"/>
          <w:szCs w:val="21"/>
        </w:rPr>
        <w:t>并指导</w:t>
      </w:r>
      <w:r>
        <w:rPr>
          <w:szCs w:val="21"/>
        </w:rPr>
        <w:t>乙方获取密码、校验码的方法。</w:t>
      </w:r>
    </w:p>
    <w:p w14:paraId="15316FB5">
      <w:pPr>
        <w:spacing w:line="360" w:lineRule="auto"/>
        <w:rPr>
          <w:szCs w:val="21"/>
        </w:rPr>
      </w:pPr>
      <w:r>
        <w:rPr>
          <w:szCs w:val="21"/>
        </w:rPr>
        <w:t>7.1.4</w:t>
      </w:r>
      <w:r>
        <w:rPr>
          <w:rFonts w:hint="eastAsia"/>
          <w:szCs w:val="21"/>
        </w:rPr>
        <w:t>必须在</w:t>
      </w:r>
      <w:r>
        <w:rPr>
          <w:szCs w:val="21"/>
        </w:rPr>
        <w:t>乙方使用网站遇到问题时提供技术支持。</w:t>
      </w:r>
    </w:p>
    <w:p w14:paraId="24972DCD">
      <w:pPr>
        <w:spacing w:line="360" w:lineRule="auto"/>
        <w:rPr>
          <w:szCs w:val="21"/>
        </w:rPr>
      </w:pPr>
      <w:r>
        <w:rPr>
          <w:szCs w:val="21"/>
        </w:rPr>
        <w:t>7.1.5未</w:t>
      </w:r>
      <w:r>
        <w:rPr>
          <w:rFonts w:hint="eastAsia"/>
          <w:szCs w:val="21"/>
        </w:rPr>
        <w:t>征得</w:t>
      </w:r>
      <w:r>
        <w:rPr>
          <w:szCs w:val="21"/>
        </w:rPr>
        <w:t>乙方同意，不得对外公开乙方的企业信息，包括乙方工作人员的私人信息内容：姓名、身份证号或电话号码等，除非应法律程序要求甲方提供上述信息。</w:t>
      </w:r>
    </w:p>
    <w:p w14:paraId="56C4CA0B">
      <w:pPr>
        <w:spacing w:line="360" w:lineRule="auto"/>
        <w:rPr>
          <w:szCs w:val="21"/>
        </w:rPr>
      </w:pPr>
      <w:r>
        <w:rPr>
          <w:szCs w:val="21"/>
        </w:rPr>
        <w:t>7.1.6当乙方未履行义务时，甲方有权暂停或取消乙方的访问权限。若情节严重，甲方有权从业务往来款项中直接扣除乙方20万元以内的赔偿金额。</w:t>
      </w:r>
    </w:p>
    <w:p w14:paraId="5687E727">
      <w:pPr>
        <w:spacing w:line="360" w:lineRule="auto"/>
        <w:rPr>
          <w:szCs w:val="21"/>
        </w:rPr>
      </w:pPr>
      <w:r>
        <w:rPr>
          <w:szCs w:val="21"/>
        </w:rPr>
        <w:t>7.2  乙方的权利和义务</w:t>
      </w:r>
    </w:p>
    <w:p w14:paraId="36BBB73C">
      <w:pPr>
        <w:spacing w:line="360" w:lineRule="auto"/>
        <w:rPr>
          <w:szCs w:val="21"/>
        </w:rPr>
      </w:pPr>
      <w:r>
        <w:rPr>
          <w:szCs w:val="21"/>
        </w:rPr>
        <w:t>7.2.1</w:t>
      </w:r>
      <w:r>
        <w:rPr>
          <w:rFonts w:hint="eastAsia"/>
          <w:szCs w:val="21"/>
        </w:rPr>
        <w:t>根据自身</w:t>
      </w:r>
      <w:r>
        <w:rPr>
          <w:szCs w:val="21"/>
        </w:rPr>
        <w:t>需</w:t>
      </w:r>
      <w:r>
        <w:rPr>
          <w:rFonts w:hint="eastAsia"/>
          <w:szCs w:val="21"/>
        </w:rPr>
        <w:t>求，申请开通甲方的相关网站使用权限及</w:t>
      </w:r>
      <w:r>
        <w:rPr>
          <w:szCs w:val="21"/>
        </w:rPr>
        <w:t>功能。</w:t>
      </w:r>
    </w:p>
    <w:p w14:paraId="5A713A22">
      <w:pPr>
        <w:spacing w:line="360" w:lineRule="auto"/>
        <w:rPr>
          <w:szCs w:val="21"/>
        </w:rPr>
      </w:pPr>
      <w:r>
        <w:rPr>
          <w:szCs w:val="21"/>
        </w:rPr>
        <w:t>7.2.</w:t>
      </w:r>
      <w:r>
        <w:rPr>
          <w:rFonts w:hint="eastAsia"/>
          <w:szCs w:val="21"/>
        </w:rPr>
        <w:t>2向甲方</w:t>
      </w:r>
      <w:r>
        <w:rPr>
          <w:szCs w:val="21"/>
        </w:rPr>
        <w:t>提供真实、准确、最新和</w:t>
      </w:r>
      <w:r>
        <w:rPr>
          <w:rFonts w:hint="eastAsia"/>
          <w:szCs w:val="21"/>
        </w:rPr>
        <w:t>详实</w:t>
      </w:r>
      <w:r>
        <w:rPr>
          <w:szCs w:val="21"/>
        </w:rPr>
        <w:t>的资料，</w:t>
      </w:r>
      <w:r>
        <w:rPr>
          <w:rFonts w:hint="eastAsia"/>
          <w:szCs w:val="21"/>
        </w:rPr>
        <w:t>如有变更需及时更新</w:t>
      </w:r>
      <w:r>
        <w:rPr>
          <w:szCs w:val="21"/>
        </w:rPr>
        <w:t>。因信息</w:t>
      </w:r>
      <w:r>
        <w:rPr>
          <w:rFonts w:hint="eastAsia"/>
          <w:szCs w:val="21"/>
        </w:rPr>
        <w:t>不准确</w:t>
      </w:r>
      <w:r>
        <w:rPr>
          <w:szCs w:val="21"/>
        </w:rPr>
        <w:t>造成不能正常使用</w:t>
      </w:r>
      <w:r>
        <w:rPr>
          <w:rFonts w:hint="eastAsia"/>
          <w:szCs w:val="21"/>
        </w:rPr>
        <w:t>甲方</w:t>
      </w:r>
      <w:r>
        <w:rPr>
          <w:szCs w:val="21"/>
        </w:rPr>
        <w:t>网站</w:t>
      </w:r>
      <w:r>
        <w:rPr>
          <w:rFonts w:hint="eastAsia"/>
          <w:szCs w:val="21"/>
        </w:rPr>
        <w:t>而导致的所有</w:t>
      </w:r>
      <w:r>
        <w:rPr>
          <w:szCs w:val="21"/>
        </w:rPr>
        <w:t>损失，均由乙方承担。</w:t>
      </w:r>
    </w:p>
    <w:p w14:paraId="44D0132D">
      <w:pPr>
        <w:spacing w:line="360" w:lineRule="auto"/>
        <w:rPr>
          <w:szCs w:val="21"/>
        </w:rPr>
      </w:pPr>
      <w:r>
        <w:rPr>
          <w:szCs w:val="21"/>
        </w:rPr>
        <w:t>7.2.3首次收到甲方提供</w:t>
      </w:r>
      <w:r>
        <w:rPr>
          <w:rFonts w:hint="eastAsia"/>
          <w:szCs w:val="21"/>
        </w:rPr>
        <w:t>的相关网站登录</w:t>
      </w:r>
      <w:r>
        <w:rPr>
          <w:szCs w:val="21"/>
        </w:rPr>
        <w:t>信息后，</w:t>
      </w:r>
      <w:r>
        <w:rPr>
          <w:rFonts w:hint="eastAsia"/>
          <w:szCs w:val="21"/>
        </w:rPr>
        <w:t>为</w:t>
      </w:r>
      <w:r>
        <w:rPr>
          <w:szCs w:val="21"/>
        </w:rPr>
        <w:t>防</w:t>
      </w:r>
      <w:r>
        <w:rPr>
          <w:rFonts w:hint="eastAsia"/>
          <w:szCs w:val="21"/>
        </w:rPr>
        <w:t>止</w:t>
      </w:r>
      <w:r>
        <w:rPr>
          <w:szCs w:val="21"/>
        </w:rPr>
        <w:t>泄密</w:t>
      </w:r>
      <w:r>
        <w:rPr>
          <w:rFonts w:hint="eastAsia"/>
          <w:szCs w:val="21"/>
        </w:rPr>
        <w:t>须重置</w:t>
      </w:r>
      <w:r>
        <w:rPr>
          <w:szCs w:val="21"/>
        </w:rPr>
        <w:t>密码</w:t>
      </w:r>
      <w:r>
        <w:rPr>
          <w:rFonts w:hint="eastAsia"/>
          <w:szCs w:val="21"/>
        </w:rPr>
        <w:t>。因密码泄露</w:t>
      </w:r>
      <w:r>
        <w:rPr>
          <w:szCs w:val="21"/>
        </w:rPr>
        <w:t>造成的</w:t>
      </w:r>
      <w:r>
        <w:rPr>
          <w:rFonts w:hint="eastAsia"/>
          <w:szCs w:val="21"/>
        </w:rPr>
        <w:t>所有</w:t>
      </w:r>
      <w:r>
        <w:rPr>
          <w:szCs w:val="21"/>
        </w:rPr>
        <w:t>损失，均由乙方承担。</w:t>
      </w:r>
    </w:p>
    <w:p w14:paraId="7D7C839B">
      <w:pPr>
        <w:spacing w:line="360" w:lineRule="auto"/>
        <w:rPr>
          <w:szCs w:val="21"/>
        </w:rPr>
      </w:pPr>
      <w:r>
        <w:rPr>
          <w:szCs w:val="21"/>
        </w:rPr>
        <w:t>7.2.4未</w:t>
      </w:r>
      <w:r>
        <w:rPr>
          <w:rFonts w:hint="eastAsia"/>
          <w:szCs w:val="21"/>
        </w:rPr>
        <w:t>征得</w:t>
      </w:r>
      <w:r>
        <w:rPr>
          <w:szCs w:val="21"/>
        </w:rPr>
        <w:t>甲方同意，乙方不得将</w:t>
      </w:r>
      <w:r>
        <w:rPr>
          <w:rFonts w:hint="eastAsia"/>
          <w:szCs w:val="21"/>
        </w:rPr>
        <w:t>自己</w:t>
      </w:r>
      <w:r>
        <w:rPr>
          <w:szCs w:val="21"/>
        </w:rPr>
        <w:t>的帐号、密码等信息私</w:t>
      </w:r>
      <w:r>
        <w:rPr>
          <w:rFonts w:hint="eastAsia"/>
          <w:szCs w:val="21"/>
        </w:rPr>
        <w:t>透</w:t>
      </w:r>
      <w:r>
        <w:rPr>
          <w:szCs w:val="21"/>
        </w:rPr>
        <w:t>给第三方</w:t>
      </w:r>
      <w:r>
        <w:rPr>
          <w:rFonts w:hint="eastAsia"/>
          <w:szCs w:val="21"/>
        </w:rPr>
        <w:t>。</w:t>
      </w:r>
      <w:r>
        <w:rPr>
          <w:szCs w:val="21"/>
        </w:rPr>
        <w:t>因此造成的</w:t>
      </w:r>
      <w:r>
        <w:rPr>
          <w:rFonts w:hint="eastAsia"/>
          <w:szCs w:val="21"/>
        </w:rPr>
        <w:t>所有</w:t>
      </w:r>
      <w:r>
        <w:rPr>
          <w:szCs w:val="21"/>
        </w:rPr>
        <w:t>损失，均由乙方承担。</w:t>
      </w:r>
    </w:p>
    <w:p w14:paraId="2CD1BE7B">
      <w:pPr>
        <w:spacing w:line="360" w:lineRule="auto"/>
        <w:rPr>
          <w:szCs w:val="21"/>
        </w:rPr>
      </w:pPr>
      <w:r>
        <w:rPr>
          <w:szCs w:val="21"/>
        </w:rPr>
        <w:t>7.2.5在使用网站功能的协议期限内，如果需要增加或者更改帐号，</w:t>
      </w:r>
      <w:r>
        <w:rPr>
          <w:rFonts w:hint="eastAsia"/>
          <w:szCs w:val="21"/>
        </w:rPr>
        <w:t>须</w:t>
      </w:r>
      <w:r>
        <w:rPr>
          <w:szCs w:val="21"/>
        </w:rPr>
        <w:t>书面向甲方申请。</w:t>
      </w:r>
    </w:p>
    <w:p w14:paraId="05854130">
      <w:pPr>
        <w:spacing w:line="360" w:lineRule="auto"/>
        <w:rPr>
          <w:szCs w:val="21"/>
        </w:rPr>
      </w:pPr>
      <w:r>
        <w:rPr>
          <w:szCs w:val="21"/>
        </w:rPr>
        <w:t>7.2.6不得将网站内有关公司的公告等相关</w:t>
      </w:r>
      <w:r>
        <w:rPr>
          <w:rFonts w:hint="eastAsia"/>
          <w:szCs w:val="21"/>
        </w:rPr>
        <w:t>内容</w:t>
      </w:r>
      <w:r>
        <w:rPr>
          <w:szCs w:val="21"/>
        </w:rPr>
        <w:t>私自</w:t>
      </w:r>
      <w:r>
        <w:rPr>
          <w:rFonts w:hint="eastAsia"/>
          <w:szCs w:val="21"/>
        </w:rPr>
        <w:t>透露</w:t>
      </w:r>
      <w:r>
        <w:rPr>
          <w:szCs w:val="21"/>
        </w:rPr>
        <w:t>给</w:t>
      </w:r>
      <w:r>
        <w:rPr>
          <w:rFonts w:hint="eastAsia"/>
          <w:szCs w:val="21"/>
        </w:rPr>
        <w:t>第三方</w:t>
      </w:r>
      <w:r>
        <w:rPr>
          <w:szCs w:val="21"/>
        </w:rPr>
        <w:t>。</w:t>
      </w:r>
    </w:p>
    <w:p w14:paraId="6422935F">
      <w:pPr>
        <w:spacing w:line="360" w:lineRule="auto"/>
        <w:rPr>
          <w:szCs w:val="21"/>
        </w:rPr>
      </w:pPr>
      <w:r>
        <w:rPr>
          <w:szCs w:val="21"/>
        </w:rPr>
        <w:t>7.2.7不得恶意攻击</w:t>
      </w:r>
      <w:r>
        <w:rPr>
          <w:rFonts w:hint="eastAsia"/>
          <w:szCs w:val="21"/>
        </w:rPr>
        <w:t>甲方</w:t>
      </w:r>
      <w:r>
        <w:rPr>
          <w:szCs w:val="21"/>
        </w:rPr>
        <w:t>网站，</w:t>
      </w:r>
      <w:r>
        <w:rPr>
          <w:rFonts w:hint="eastAsia"/>
          <w:szCs w:val="21"/>
        </w:rPr>
        <w:t>不得</w:t>
      </w:r>
      <w:r>
        <w:rPr>
          <w:szCs w:val="21"/>
        </w:rPr>
        <w:t>在网站上发布不利于甲方或</w:t>
      </w:r>
      <w:r>
        <w:rPr>
          <w:rFonts w:hint="eastAsia"/>
          <w:szCs w:val="21"/>
        </w:rPr>
        <w:t>相关</w:t>
      </w:r>
      <w:r>
        <w:rPr>
          <w:szCs w:val="21"/>
        </w:rPr>
        <w:t>第三方的言论。</w:t>
      </w:r>
    </w:p>
    <w:p w14:paraId="1D7C818D">
      <w:pPr>
        <w:spacing w:line="360" w:lineRule="auto"/>
        <w:rPr>
          <w:szCs w:val="21"/>
        </w:rPr>
      </w:pPr>
      <w:r>
        <w:rPr>
          <w:szCs w:val="21"/>
        </w:rPr>
        <w:t>7.</w:t>
      </w:r>
      <w:r>
        <w:rPr>
          <w:rFonts w:hint="eastAsia"/>
          <w:szCs w:val="21"/>
        </w:rPr>
        <w:t>2.8应设专人使用甲方的供应商管理网</w:t>
      </w:r>
      <w:r>
        <w:rPr>
          <w:szCs w:val="21"/>
        </w:rPr>
        <w:t>，及时接收甲方订单，查阅甲方在网站上公布的信息。如因乙方未及时查阅网站信息给甲方造成损失，由乙方承担全部责任并赔偿甲方的所有损失。</w:t>
      </w:r>
    </w:p>
    <w:p w14:paraId="4C82B020">
      <w:pPr>
        <w:spacing w:line="360" w:lineRule="auto"/>
        <w:rPr>
          <w:szCs w:val="21"/>
        </w:rPr>
      </w:pPr>
    </w:p>
    <w:p w14:paraId="4CAB946A">
      <w:pPr>
        <w:spacing w:line="360" w:lineRule="auto"/>
        <w:rPr>
          <w:b/>
          <w:szCs w:val="21"/>
        </w:rPr>
      </w:pPr>
      <w:r>
        <w:rPr>
          <w:b/>
          <w:szCs w:val="21"/>
        </w:rPr>
        <w:t>八、重大事项告知</w:t>
      </w:r>
    </w:p>
    <w:p w14:paraId="6D6989B6">
      <w:pPr>
        <w:spacing w:line="360" w:lineRule="auto"/>
        <w:rPr>
          <w:szCs w:val="21"/>
        </w:rPr>
      </w:pPr>
      <w:r>
        <w:rPr>
          <w:szCs w:val="21"/>
        </w:rPr>
        <w:t>8.1在本协议有效期内，如乙方的高级管理人员、注册资本、经营地址、场所及经营范围有变动</w:t>
      </w:r>
      <w:r>
        <w:rPr>
          <w:rFonts w:hint="eastAsia"/>
          <w:szCs w:val="21"/>
        </w:rPr>
        <w:t>，</w:t>
      </w:r>
      <w:r>
        <w:rPr>
          <w:szCs w:val="21"/>
        </w:rPr>
        <w:t>及经营状况、业务人员变更等重大变化时，应</w:t>
      </w:r>
      <w:r>
        <w:rPr>
          <w:rFonts w:hint="eastAsia"/>
          <w:szCs w:val="21"/>
        </w:rPr>
        <w:t>在变更后30个工作日内</w:t>
      </w:r>
      <w:r>
        <w:rPr>
          <w:szCs w:val="21"/>
        </w:rPr>
        <w:t>书面告知甲方。</w:t>
      </w:r>
    </w:p>
    <w:p w14:paraId="04D4F7D8">
      <w:pPr>
        <w:spacing w:line="360" w:lineRule="auto"/>
        <w:rPr>
          <w:szCs w:val="21"/>
        </w:rPr>
      </w:pPr>
      <w:r>
        <w:rPr>
          <w:szCs w:val="21"/>
        </w:rPr>
        <w:t>8.2乙方应保证所供产品配置的稳定性，没有甲方的书面通知，乙方不得私自变更产品关键零部件的配置和采购渠道，否则甲方有权拒绝接收。如乙方遇生产转移，使用新工装，应用新工艺等需要变更关键零部件的配置和采购渠道，乙方必须事先书面通知甲方，取得甲方书面同意后乙方才能执行变更，并将变更后的样件主动提供给甲方。在甲方检测或试装确认结束后，乙方在能批量更改。</w:t>
      </w:r>
    </w:p>
    <w:p w14:paraId="7934BC28">
      <w:pPr>
        <w:spacing w:line="360" w:lineRule="auto"/>
        <w:rPr>
          <w:b/>
          <w:szCs w:val="21"/>
        </w:rPr>
      </w:pPr>
      <w:r>
        <w:rPr>
          <w:szCs w:val="21"/>
        </w:rPr>
        <w:t>8.3 对于所出现的任何一项索赔事由，</w:t>
      </w:r>
      <w:r>
        <w:rPr>
          <w:rFonts w:hint="eastAsia"/>
          <w:szCs w:val="21"/>
        </w:rPr>
        <w:t>甲方应提供网站系统给乙方查询，也可以通过邮件、传真、邮寄等方式通知乙方</w:t>
      </w:r>
      <w:r>
        <w:rPr>
          <w:szCs w:val="21"/>
        </w:rPr>
        <w:t>，</w:t>
      </w:r>
      <w:r>
        <w:rPr>
          <w:rFonts w:hint="eastAsia"/>
          <w:szCs w:val="21"/>
        </w:rPr>
        <w:t>内容</w:t>
      </w:r>
      <w:r>
        <w:rPr>
          <w:szCs w:val="21"/>
        </w:rPr>
        <w:t>中应包含索赔事由，索赔金额</w:t>
      </w:r>
      <w:r>
        <w:rPr>
          <w:rFonts w:hint="eastAsia"/>
          <w:szCs w:val="21"/>
        </w:rPr>
        <w:t>、费用期间及相关</w:t>
      </w:r>
      <w:r>
        <w:rPr>
          <w:szCs w:val="21"/>
        </w:rPr>
        <w:t>内容。</w:t>
      </w:r>
      <w:r>
        <w:rPr>
          <w:rFonts w:hint="eastAsia"/>
          <w:szCs w:val="21"/>
        </w:rPr>
        <w:t>乙方通过查询审核网站理赔通知单的方式核对索赔事项，</w:t>
      </w:r>
      <w:r>
        <w:rPr>
          <w:szCs w:val="21"/>
        </w:rPr>
        <w:t>如有异议</w:t>
      </w:r>
      <w:r>
        <w:rPr>
          <w:rFonts w:hint="eastAsia"/>
          <w:szCs w:val="21"/>
        </w:rPr>
        <w:t>，</w:t>
      </w:r>
      <w:r>
        <w:rPr>
          <w:szCs w:val="21"/>
        </w:rPr>
        <w:t>应在</w:t>
      </w:r>
      <w:r>
        <w:rPr>
          <w:rFonts w:hint="eastAsia"/>
          <w:szCs w:val="21"/>
        </w:rPr>
        <w:t>网站理赔通知单产生或</w:t>
      </w:r>
      <w:r>
        <w:rPr>
          <w:szCs w:val="21"/>
        </w:rPr>
        <w:t>收到</w:t>
      </w:r>
      <w:r>
        <w:rPr>
          <w:rFonts w:hint="eastAsia"/>
          <w:szCs w:val="21"/>
        </w:rPr>
        <w:t>甲方</w:t>
      </w:r>
      <w:r>
        <w:rPr>
          <w:szCs w:val="21"/>
        </w:rPr>
        <w:t>通知之日</w:t>
      </w:r>
      <w:r>
        <w:rPr>
          <w:rFonts w:hint="eastAsia"/>
          <w:szCs w:val="21"/>
        </w:rPr>
        <w:t>起5</w:t>
      </w:r>
      <w:r>
        <w:rPr>
          <w:szCs w:val="21"/>
        </w:rPr>
        <w:t>个工作日内</w:t>
      </w:r>
      <w:r>
        <w:rPr>
          <w:rFonts w:hint="eastAsia"/>
          <w:szCs w:val="21"/>
        </w:rPr>
        <w:t>通过相应方式</w:t>
      </w:r>
      <w:r>
        <w:rPr>
          <w:szCs w:val="21"/>
        </w:rPr>
        <w:t>回复</w:t>
      </w:r>
      <w:r>
        <w:rPr>
          <w:rFonts w:hint="eastAsia"/>
          <w:szCs w:val="21"/>
        </w:rPr>
        <w:t>甲方，</w:t>
      </w:r>
      <w:r>
        <w:rPr>
          <w:szCs w:val="21"/>
        </w:rPr>
        <w:t>并说明理由，同时应派出工作人员到</w:t>
      </w:r>
      <w:r>
        <w:rPr>
          <w:rFonts w:hint="eastAsia"/>
          <w:szCs w:val="21"/>
        </w:rPr>
        <w:t>甲方</w:t>
      </w:r>
      <w:r>
        <w:rPr>
          <w:szCs w:val="21"/>
        </w:rPr>
        <w:t>或</w:t>
      </w:r>
      <w:r>
        <w:rPr>
          <w:rFonts w:hint="eastAsia"/>
          <w:szCs w:val="21"/>
        </w:rPr>
        <w:t>甲方</w:t>
      </w:r>
      <w:r>
        <w:rPr>
          <w:szCs w:val="21"/>
        </w:rPr>
        <w:t>指定的地点协商解决争议。</w:t>
      </w:r>
      <w:r>
        <w:rPr>
          <w:rFonts w:hint="eastAsia"/>
          <w:szCs w:val="21"/>
        </w:rPr>
        <w:t>乙方</w:t>
      </w:r>
      <w:r>
        <w:rPr>
          <w:szCs w:val="21"/>
        </w:rPr>
        <w:t>在</w:t>
      </w:r>
      <w:r>
        <w:rPr>
          <w:rFonts w:hint="eastAsia"/>
          <w:szCs w:val="21"/>
        </w:rPr>
        <w:t>理赔通知单产生或</w:t>
      </w:r>
      <w:r>
        <w:rPr>
          <w:szCs w:val="21"/>
        </w:rPr>
        <w:t>接到</w:t>
      </w:r>
      <w:r>
        <w:rPr>
          <w:rFonts w:hint="eastAsia"/>
          <w:szCs w:val="21"/>
        </w:rPr>
        <w:t>甲方</w:t>
      </w:r>
      <w:r>
        <w:rPr>
          <w:szCs w:val="21"/>
        </w:rPr>
        <w:t>通知之日</w:t>
      </w:r>
      <w:r>
        <w:rPr>
          <w:rFonts w:hint="eastAsia"/>
          <w:szCs w:val="21"/>
        </w:rPr>
        <w:t>起5</w:t>
      </w:r>
      <w:r>
        <w:rPr>
          <w:szCs w:val="21"/>
        </w:rPr>
        <w:t>个工作日内没有履行上述义务的，视为</w:t>
      </w:r>
      <w:r>
        <w:rPr>
          <w:rFonts w:hint="eastAsia"/>
          <w:szCs w:val="21"/>
        </w:rPr>
        <w:t>同意甲方</w:t>
      </w:r>
      <w:r>
        <w:rPr>
          <w:szCs w:val="21"/>
        </w:rPr>
        <w:t>的索赔要求。</w:t>
      </w:r>
    </w:p>
    <w:p w14:paraId="77234E8D">
      <w:pPr>
        <w:spacing w:line="360" w:lineRule="auto"/>
        <w:rPr>
          <w:rFonts w:ascii="宋体" w:hAnsi="宋体" w:cs="宋体"/>
          <w:color w:val="000000" w:themeColor="text1"/>
          <w:szCs w:val="21"/>
        </w:rPr>
      </w:pPr>
      <w:r>
        <w:rPr>
          <w:rFonts w:hint="eastAsia"/>
          <w:color w:val="000000" w:themeColor="text1"/>
          <w:szCs w:val="21"/>
        </w:rPr>
        <w:t>8.4 乙方不应以破产重组、改制更名</w:t>
      </w:r>
      <w:r>
        <w:rPr>
          <w:rFonts w:hint="eastAsia" w:ascii="宋体" w:hAnsi="宋体" w:cs="宋体"/>
          <w:color w:val="000000" w:themeColor="text1"/>
          <w:szCs w:val="21"/>
        </w:rPr>
        <w:t>成新的企业主体为由而单方面终止服务。乙方在改制、重组后，新的企业主体必须继续做好服务保障工作，继续履行本协议。</w:t>
      </w:r>
    </w:p>
    <w:p w14:paraId="20897986">
      <w:pPr>
        <w:spacing w:line="360" w:lineRule="auto"/>
        <w:rPr>
          <w:szCs w:val="21"/>
        </w:rPr>
      </w:pPr>
      <w:r>
        <w:rPr>
          <w:szCs w:val="21"/>
        </w:rPr>
        <w:t>8.</w:t>
      </w:r>
      <w:r>
        <w:rPr>
          <w:rFonts w:hint="eastAsia"/>
          <w:szCs w:val="21"/>
        </w:rPr>
        <w:t>5</w:t>
      </w:r>
      <w:r>
        <w:rPr>
          <w:szCs w:val="21"/>
        </w:rPr>
        <w:t xml:space="preserve"> 本协议适用于甲方的</w:t>
      </w:r>
      <w:r>
        <w:rPr>
          <w:rFonts w:hint="eastAsia"/>
          <w:szCs w:val="21"/>
        </w:rPr>
        <w:t>国内</w:t>
      </w:r>
      <w:r>
        <w:rPr>
          <w:szCs w:val="21"/>
        </w:rPr>
        <w:t>客户服务</w:t>
      </w:r>
      <w:r>
        <w:rPr>
          <w:rFonts w:hint="eastAsia"/>
          <w:szCs w:val="21"/>
        </w:rPr>
        <w:t>和海外客户服务</w:t>
      </w:r>
      <w:r>
        <w:rPr>
          <w:szCs w:val="21"/>
        </w:rPr>
        <w:t>，对于甲方其它部门向乙方采购零部件等其它内容的，应另行签订协议。</w:t>
      </w:r>
    </w:p>
    <w:p w14:paraId="5507DEB9">
      <w:pPr>
        <w:spacing w:line="360" w:lineRule="auto"/>
        <w:rPr>
          <w:szCs w:val="21"/>
        </w:rPr>
      </w:pPr>
      <w:r>
        <w:rPr>
          <w:rFonts w:hint="eastAsia"/>
          <w:szCs w:val="21"/>
        </w:rPr>
        <w:t>8</w:t>
      </w:r>
      <w:r>
        <w:rPr>
          <w:szCs w:val="21"/>
        </w:rPr>
        <w:t xml:space="preserve">.6 </w:t>
      </w:r>
      <w:r>
        <w:rPr>
          <w:rFonts w:hint="eastAsia"/>
          <w:szCs w:val="21"/>
        </w:rPr>
        <w:t>本协议所述海外是指中国大陆境内以外的区域，包含港澳台地区。</w:t>
      </w:r>
    </w:p>
    <w:p w14:paraId="29F83F44">
      <w:pPr>
        <w:spacing w:line="360" w:lineRule="auto"/>
        <w:rPr>
          <w:szCs w:val="21"/>
        </w:rPr>
      </w:pPr>
    </w:p>
    <w:p w14:paraId="339FE84C">
      <w:pPr>
        <w:spacing w:line="360" w:lineRule="auto"/>
        <w:rPr>
          <w:b/>
          <w:szCs w:val="21"/>
        </w:rPr>
      </w:pPr>
      <w:r>
        <w:rPr>
          <w:b/>
          <w:szCs w:val="21"/>
        </w:rPr>
        <w:t>九、纠纷的处理</w:t>
      </w:r>
    </w:p>
    <w:p w14:paraId="189F8839">
      <w:pPr>
        <w:spacing w:line="360" w:lineRule="auto"/>
        <w:rPr>
          <w:szCs w:val="21"/>
        </w:rPr>
      </w:pPr>
      <w:r>
        <w:rPr>
          <w:szCs w:val="21"/>
        </w:rPr>
        <w:t>9.1协议发生纠纷时，当事人双方应协商解决；协商不成按(</w:t>
      </w:r>
      <w:r>
        <w:rPr>
          <w:rFonts w:hint="eastAsia"/>
          <w:szCs w:val="21"/>
        </w:rPr>
        <w:t xml:space="preserve"> </w:t>
      </w:r>
      <w:r>
        <w:rPr>
          <w:szCs w:val="21"/>
        </w:rPr>
        <w:t>a</w:t>
      </w:r>
      <w:r>
        <w:rPr>
          <w:rFonts w:hint="eastAsia"/>
          <w:szCs w:val="21"/>
        </w:rPr>
        <w:t xml:space="preserve">或b </w:t>
      </w:r>
      <w:r>
        <w:rPr>
          <w:szCs w:val="21"/>
        </w:rPr>
        <w:t>)项处理：</w:t>
      </w:r>
    </w:p>
    <w:p w14:paraId="3B39B9AA">
      <w:pPr>
        <w:spacing w:line="360" w:lineRule="auto"/>
        <w:rPr>
          <w:szCs w:val="21"/>
        </w:rPr>
      </w:pPr>
      <w:r>
        <w:rPr>
          <w:szCs w:val="21"/>
        </w:rPr>
        <w:t>a.向苏州仲裁委员会申请仲裁；</w:t>
      </w:r>
    </w:p>
    <w:p w14:paraId="3094891F">
      <w:pPr>
        <w:spacing w:line="360" w:lineRule="auto"/>
        <w:rPr>
          <w:szCs w:val="21"/>
        </w:rPr>
      </w:pPr>
      <w:r>
        <w:rPr>
          <w:szCs w:val="21"/>
        </w:rPr>
        <w:t>b.向甲方所在地有管辖权的人民法院起诉。</w:t>
      </w:r>
    </w:p>
    <w:p w14:paraId="4D5D4659">
      <w:pPr>
        <w:spacing w:line="360" w:lineRule="auto"/>
        <w:rPr>
          <w:szCs w:val="21"/>
        </w:rPr>
      </w:pPr>
      <w:r>
        <w:rPr>
          <w:szCs w:val="21"/>
        </w:rPr>
        <w:t>9.2当事人双方对承揽的定作物和项目质量在检验中发生争议时，可由法定质量监督检验机构提供检验证明，费用由乙方预交，最后由责任方承担。</w:t>
      </w:r>
    </w:p>
    <w:p w14:paraId="0E60A73E">
      <w:pPr>
        <w:spacing w:line="360" w:lineRule="auto"/>
        <w:rPr>
          <w:szCs w:val="21"/>
        </w:rPr>
      </w:pPr>
      <w:r>
        <w:rPr>
          <w:szCs w:val="21"/>
        </w:rPr>
        <w:br w:type="page"/>
      </w:r>
    </w:p>
    <w:p w14:paraId="2CFCA002">
      <w:pPr>
        <w:jc w:val="center"/>
        <w:rPr>
          <w:b/>
          <w:sz w:val="28"/>
          <w:szCs w:val="28"/>
        </w:rPr>
      </w:pPr>
      <w:r>
        <w:rPr>
          <w:b/>
          <w:sz w:val="28"/>
          <w:szCs w:val="28"/>
        </w:rPr>
        <w:t>生产配套类产品服务协议细则</w:t>
      </w:r>
    </w:p>
    <w:p w14:paraId="72934630">
      <w:pPr>
        <w:pStyle w:val="3"/>
        <w:snapToGrid w:val="0"/>
        <w:ind w:firstLine="0"/>
        <w:rPr>
          <w:rFonts w:hint="default" w:ascii="Times New Roman"/>
          <w:b/>
          <w:sz w:val="21"/>
          <w:szCs w:val="24"/>
        </w:rPr>
      </w:pPr>
      <w:r>
        <w:rPr>
          <w:rFonts w:hint="default" w:ascii="Times New Roman"/>
          <w:b/>
          <w:sz w:val="21"/>
          <w:szCs w:val="24"/>
        </w:rPr>
        <w:t>一、产品品质保证</w:t>
      </w:r>
    </w:p>
    <w:p w14:paraId="16F89AFF">
      <w:pPr>
        <w:pStyle w:val="3"/>
        <w:snapToGrid w:val="0"/>
        <w:ind w:firstLine="0"/>
        <w:rPr>
          <w:rFonts w:hint="default" w:ascii="Times New Roman"/>
          <w:sz w:val="21"/>
          <w:szCs w:val="24"/>
        </w:rPr>
      </w:pPr>
      <w:r>
        <w:rPr>
          <w:rFonts w:hint="default" w:ascii="Times New Roman"/>
          <w:sz w:val="21"/>
          <w:szCs w:val="24"/>
        </w:rPr>
        <w:t>1.1 、产品品质保证期限</w:t>
      </w:r>
    </w:p>
    <w:p w14:paraId="30F56DDC">
      <w:pPr>
        <w:spacing w:line="360" w:lineRule="auto"/>
        <w:outlineLvl w:val="1"/>
        <w:rPr>
          <w:rFonts w:hint="eastAsia" w:ascii="宋体" w:hAnsi="宋体"/>
          <w:b/>
          <w:bCs/>
          <w:color w:val="000000"/>
          <w:szCs w:val="21"/>
        </w:rPr>
      </w:pPr>
      <w:r>
        <w:rPr>
          <w:rFonts w:ascii="宋体" w:hAnsi="宋体"/>
          <w:color w:val="000000"/>
          <w:szCs w:val="21"/>
        </w:rPr>
        <w:t>1.1.1</w:t>
      </w:r>
      <w:r>
        <w:rPr>
          <w:rFonts w:hint="eastAsia" w:ascii="宋体" w:hAnsi="宋体"/>
          <w:color w:val="000000"/>
          <w:szCs w:val="21"/>
        </w:rPr>
        <w:t>供应商</w:t>
      </w:r>
      <w:r>
        <w:rPr>
          <w:color w:val="000000"/>
        </w:rPr>
        <w:t>必须配合</w:t>
      </w:r>
      <w:r>
        <w:rPr>
          <w:rFonts w:hint="eastAsia"/>
          <w:color w:val="000000"/>
        </w:rPr>
        <w:t>苏州金龙</w:t>
      </w:r>
      <w:r>
        <w:rPr>
          <w:color w:val="000000"/>
        </w:rPr>
        <w:t>做好整车出厂前的安装调试及品质验收工作，</w:t>
      </w:r>
      <w:r>
        <w:rPr>
          <w:rFonts w:hint="eastAsia"/>
          <w:color w:val="000000"/>
        </w:rPr>
        <w:t>苏州金龙</w:t>
      </w:r>
      <w:r>
        <w:rPr>
          <w:color w:val="000000"/>
        </w:rPr>
        <w:t>整车产品取得合格证，视为</w:t>
      </w:r>
      <w:r>
        <w:rPr>
          <w:rFonts w:hint="eastAsia"/>
          <w:color w:val="000000"/>
        </w:rPr>
        <w:t>供应商</w:t>
      </w:r>
      <w:r>
        <w:rPr>
          <w:color w:val="000000"/>
        </w:rPr>
        <w:t>已经验收认可</w:t>
      </w:r>
      <w:r>
        <w:rPr>
          <w:rFonts w:hint="eastAsia"/>
          <w:color w:val="000000"/>
        </w:rPr>
        <w:t>。</w:t>
      </w:r>
    </w:p>
    <w:p w14:paraId="52846391">
      <w:pPr>
        <w:snapToGrid w:val="0"/>
        <w:spacing w:line="360" w:lineRule="auto"/>
        <w:contextualSpacing/>
        <w:rPr>
          <w:rFonts w:ascii="宋体" w:hAnsi="宋体"/>
          <w:color w:val="000000" w:themeColor="text1"/>
          <w:szCs w:val="21"/>
        </w:rPr>
      </w:pPr>
      <w:r>
        <w:rPr>
          <w:rFonts w:ascii="宋体" w:hAnsi="宋体"/>
          <w:color w:val="000000" w:themeColor="text1"/>
          <w:szCs w:val="21"/>
        </w:rPr>
        <w:t>1.1.2</w:t>
      </w:r>
      <w:r>
        <w:rPr>
          <w:rFonts w:hint="eastAsia" w:ascii="宋体" w:hAnsi="宋体"/>
          <w:color w:val="000000" w:themeColor="text1"/>
          <w:szCs w:val="21"/>
        </w:rPr>
        <w:t xml:space="preserve"> 供应商</w:t>
      </w:r>
      <w:r>
        <w:rPr>
          <w:rFonts w:ascii="宋体" w:hAnsi="宋体"/>
          <w:color w:val="000000" w:themeColor="text1"/>
          <w:szCs w:val="21"/>
        </w:rPr>
        <w:t>必须执行以下所提供产品的品质保证期限：</w:t>
      </w:r>
    </w:p>
    <w:p w14:paraId="3BEC98ED">
      <w:pPr>
        <w:snapToGrid w:val="0"/>
        <w:spacing w:line="360" w:lineRule="auto"/>
        <w:contextualSpacing/>
        <w:rPr>
          <w:rFonts w:ascii="宋体" w:hAnsi="宋体"/>
          <w:color w:val="000000" w:themeColor="text1"/>
          <w:szCs w:val="21"/>
        </w:rPr>
      </w:pPr>
      <w:r>
        <w:rPr>
          <w:rFonts w:ascii="宋体" w:hAnsi="宋体"/>
          <w:color w:val="000000" w:themeColor="text1"/>
          <w:szCs w:val="21"/>
        </w:rPr>
        <w:t>1.1.2.1苏州金龙海格新V系列车型最低执行标准（国内）：</w:t>
      </w:r>
    </w:p>
    <w:tbl>
      <w:tblPr>
        <w:tblStyle w:val="13"/>
        <w:tblW w:w="940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5574"/>
        <w:gridCol w:w="1550"/>
        <w:gridCol w:w="1535"/>
      </w:tblGrid>
      <w:tr w14:paraId="6D8A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44" w:type="dxa"/>
            <w:vMerge w:val="restart"/>
            <w:vAlign w:val="center"/>
          </w:tcPr>
          <w:p w14:paraId="7EB3A179">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序号</w:t>
            </w:r>
          </w:p>
        </w:tc>
        <w:tc>
          <w:tcPr>
            <w:tcW w:w="5574" w:type="dxa"/>
            <w:vMerge w:val="restart"/>
            <w:vAlign w:val="center"/>
          </w:tcPr>
          <w:p w14:paraId="4C4695F1">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类别</w:t>
            </w:r>
          </w:p>
        </w:tc>
        <w:tc>
          <w:tcPr>
            <w:tcW w:w="3085" w:type="dxa"/>
            <w:gridSpan w:val="2"/>
            <w:vAlign w:val="center"/>
          </w:tcPr>
          <w:p w14:paraId="4AF32979">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质保时间或里程</w:t>
            </w:r>
          </w:p>
        </w:tc>
      </w:tr>
      <w:tr w14:paraId="7F1D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44" w:type="dxa"/>
            <w:vMerge w:val="continue"/>
            <w:vAlign w:val="center"/>
          </w:tcPr>
          <w:p w14:paraId="0506D677">
            <w:pPr>
              <w:snapToGrid w:val="0"/>
              <w:spacing w:line="360" w:lineRule="auto"/>
              <w:contextualSpacing/>
              <w:jc w:val="center"/>
              <w:rPr>
                <w:rFonts w:ascii="宋体" w:hAnsi="宋体"/>
                <w:color w:val="000000" w:themeColor="text1"/>
                <w:szCs w:val="21"/>
              </w:rPr>
            </w:pPr>
          </w:p>
        </w:tc>
        <w:tc>
          <w:tcPr>
            <w:tcW w:w="5574" w:type="dxa"/>
            <w:vMerge w:val="continue"/>
            <w:vAlign w:val="center"/>
          </w:tcPr>
          <w:p w14:paraId="725E43DB">
            <w:pPr>
              <w:snapToGrid w:val="0"/>
              <w:spacing w:line="360" w:lineRule="auto"/>
              <w:contextualSpacing/>
              <w:jc w:val="center"/>
              <w:rPr>
                <w:rFonts w:ascii="宋体" w:hAnsi="宋体"/>
                <w:color w:val="000000" w:themeColor="text1"/>
                <w:szCs w:val="21"/>
              </w:rPr>
            </w:pPr>
          </w:p>
        </w:tc>
        <w:tc>
          <w:tcPr>
            <w:tcW w:w="1550" w:type="dxa"/>
            <w:vAlign w:val="center"/>
          </w:tcPr>
          <w:p w14:paraId="255E2458">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月</w:t>
            </w:r>
          </w:p>
        </w:tc>
        <w:tc>
          <w:tcPr>
            <w:tcW w:w="1535" w:type="dxa"/>
            <w:vAlign w:val="center"/>
          </w:tcPr>
          <w:p w14:paraId="27A4FA25">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万公里</w:t>
            </w:r>
          </w:p>
        </w:tc>
      </w:tr>
      <w:tr w14:paraId="4C6D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4" w:type="dxa"/>
            <w:vAlign w:val="center"/>
          </w:tcPr>
          <w:p w14:paraId="1AFEE373">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1</w:t>
            </w:r>
          </w:p>
        </w:tc>
        <w:tc>
          <w:tcPr>
            <w:tcW w:w="5574" w:type="dxa"/>
            <w:vAlign w:val="center"/>
          </w:tcPr>
          <w:p w14:paraId="3F686834">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离合器、蓄电池</w:t>
            </w:r>
          </w:p>
        </w:tc>
        <w:tc>
          <w:tcPr>
            <w:tcW w:w="1550" w:type="dxa"/>
            <w:vAlign w:val="center"/>
          </w:tcPr>
          <w:p w14:paraId="237259ED">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12</w:t>
            </w:r>
          </w:p>
        </w:tc>
        <w:tc>
          <w:tcPr>
            <w:tcW w:w="1535" w:type="dxa"/>
            <w:vAlign w:val="center"/>
          </w:tcPr>
          <w:p w14:paraId="74F09410">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10</w:t>
            </w:r>
          </w:p>
        </w:tc>
      </w:tr>
      <w:tr w14:paraId="5743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4" w:type="dxa"/>
            <w:vAlign w:val="center"/>
          </w:tcPr>
          <w:p w14:paraId="12A9D083">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2</w:t>
            </w:r>
          </w:p>
        </w:tc>
        <w:tc>
          <w:tcPr>
            <w:tcW w:w="5574" w:type="dxa"/>
            <w:vAlign w:val="center"/>
          </w:tcPr>
          <w:p w14:paraId="17B0E67E">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损耗件（滤芯、制动摩擦片、皮带、油封、衬垫、密封圈、灯泡、低压保险、低压继电器）</w:t>
            </w:r>
          </w:p>
        </w:tc>
        <w:tc>
          <w:tcPr>
            <w:tcW w:w="1550" w:type="dxa"/>
            <w:vAlign w:val="center"/>
          </w:tcPr>
          <w:p w14:paraId="78872C63">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6</w:t>
            </w:r>
          </w:p>
        </w:tc>
        <w:tc>
          <w:tcPr>
            <w:tcW w:w="1535" w:type="dxa"/>
            <w:vAlign w:val="center"/>
          </w:tcPr>
          <w:p w14:paraId="74BED024">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3</w:t>
            </w:r>
          </w:p>
        </w:tc>
      </w:tr>
      <w:tr w14:paraId="1D00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744" w:type="dxa"/>
            <w:vAlign w:val="center"/>
          </w:tcPr>
          <w:p w14:paraId="647924A9">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3</w:t>
            </w:r>
          </w:p>
        </w:tc>
        <w:tc>
          <w:tcPr>
            <w:tcW w:w="5574" w:type="dxa"/>
            <w:vAlign w:val="center"/>
          </w:tcPr>
          <w:p w14:paraId="168058D7">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其他整车产品</w:t>
            </w:r>
          </w:p>
        </w:tc>
        <w:tc>
          <w:tcPr>
            <w:tcW w:w="1550" w:type="dxa"/>
            <w:vAlign w:val="center"/>
          </w:tcPr>
          <w:p w14:paraId="54DCE3BB">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24</w:t>
            </w:r>
          </w:p>
        </w:tc>
        <w:tc>
          <w:tcPr>
            <w:tcW w:w="1535" w:type="dxa"/>
            <w:vAlign w:val="center"/>
          </w:tcPr>
          <w:p w14:paraId="39195C8B">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20</w:t>
            </w:r>
          </w:p>
        </w:tc>
      </w:tr>
    </w:tbl>
    <w:p w14:paraId="26B1B5EB">
      <w:pPr>
        <w:snapToGrid w:val="0"/>
        <w:spacing w:line="360" w:lineRule="auto"/>
        <w:contextualSpacing/>
        <w:rPr>
          <w:rFonts w:ascii="宋体" w:hAnsi="宋体"/>
          <w:color w:val="000000" w:themeColor="text1"/>
          <w:szCs w:val="21"/>
        </w:rPr>
      </w:pPr>
    </w:p>
    <w:p w14:paraId="0A9CBD15">
      <w:pPr>
        <w:snapToGrid w:val="0"/>
        <w:spacing w:line="360" w:lineRule="auto"/>
        <w:contextualSpacing/>
        <w:rPr>
          <w:rFonts w:ascii="宋体" w:hAnsi="宋体"/>
          <w:color w:val="000000" w:themeColor="text1"/>
          <w:szCs w:val="21"/>
        </w:rPr>
      </w:pPr>
      <w:r>
        <w:rPr>
          <w:rFonts w:ascii="宋体" w:hAnsi="宋体"/>
          <w:color w:val="000000" w:themeColor="text1"/>
          <w:szCs w:val="21"/>
        </w:rPr>
        <w:t>7.1.2.2苏州金龙海格新V系列车型以外的车型最低执行（需供应商填写，不够填写可另行附表，国内）</w:t>
      </w:r>
      <w:r>
        <w:rPr>
          <w:rFonts w:hint="eastAsia" w:ascii="宋体" w:hAnsi="宋体"/>
          <w:color w:val="000000" w:themeColor="text1"/>
          <w:szCs w:val="21"/>
        </w:rPr>
        <w:t>：</w:t>
      </w:r>
    </w:p>
    <w:tbl>
      <w:tblPr>
        <w:tblStyle w:val="12"/>
        <w:tblW w:w="49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5616"/>
        <w:gridCol w:w="1549"/>
        <w:gridCol w:w="1545"/>
      </w:tblGrid>
      <w:tr w14:paraId="0782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378" w:type="pct"/>
            <w:vMerge w:val="restart"/>
            <w:vAlign w:val="center"/>
          </w:tcPr>
          <w:p w14:paraId="3A0E97C2">
            <w:pPr>
              <w:snapToGrid w:val="0"/>
              <w:spacing w:line="360" w:lineRule="auto"/>
              <w:contextualSpacing/>
              <w:jc w:val="center"/>
              <w:rPr>
                <w:color w:val="000000" w:themeColor="text1"/>
              </w:rPr>
            </w:pPr>
            <w:r>
              <w:rPr>
                <w:rFonts w:hint="eastAsia"/>
                <w:color w:val="000000" w:themeColor="text1"/>
              </w:rPr>
              <w:t>序号</w:t>
            </w:r>
          </w:p>
        </w:tc>
        <w:tc>
          <w:tcPr>
            <w:tcW w:w="2980" w:type="pct"/>
            <w:vMerge w:val="restart"/>
            <w:vAlign w:val="center"/>
          </w:tcPr>
          <w:p w14:paraId="5CE0D21B">
            <w:pPr>
              <w:snapToGrid w:val="0"/>
              <w:spacing w:line="360" w:lineRule="auto"/>
              <w:contextualSpacing/>
              <w:jc w:val="center"/>
              <w:rPr>
                <w:color w:val="000000" w:themeColor="text1"/>
              </w:rPr>
            </w:pPr>
            <w:r>
              <w:rPr>
                <w:rFonts w:hint="eastAsia"/>
                <w:color w:val="000000" w:themeColor="text1"/>
              </w:rPr>
              <w:t>产品名称</w:t>
            </w:r>
          </w:p>
        </w:tc>
        <w:tc>
          <w:tcPr>
            <w:tcW w:w="1640" w:type="pct"/>
            <w:gridSpan w:val="2"/>
            <w:vAlign w:val="center"/>
          </w:tcPr>
          <w:p w14:paraId="37E92D7A">
            <w:pPr>
              <w:snapToGrid w:val="0"/>
              <w:spacing w:line="360" w:lineRule="auto"/>
              <w:contextualSpacing/>
              <w:jc w:val="center"/>
              <w:rPr>
                <w:color w:val="000000" w:themeColor="text1"/>
              </w:rPr>
            </w:pPr>
            <w:r>
              <w:rPr>
                <w:rFonts w:ascii="宋体" w:hAnsi="宋体"/>
                <w:color w:val="000000" w:themeColor="text1"/>
                <w:szCs w:val="21"/>
              </w:rPr>
              <w:t>质保时间或里程</w:t>
            </w:r>
          </w:p>
        </w:tc>
      </w:tr>
      <w:tr w14:paraId="3033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78" w:type="pct"/>
            <w:vMerge w:val="continue"/>
            <w:vAlign w:val="center"/>
          </w:tcPr>
          <w:p w14:paraId="30F88562">
            <w:pPr>
              <w:snapToGrid w:val="0"/>
              <w:spacing w:line="360" w:lineRule="auto"/>
              <w:contextualSpacing/>
              <w:jc w:val="center"/>
              <w:rPr>
                <w:rFonts w:hint="eastAsia"/>
                <w:color w:val="000000" w:themeColor="text1"/>
              </w:rPr>
            </w:pPr>
          </w:p>
        </w:tc>
        <w:tc>
          <w:tcPr>
            <w:tcW w:w="2980" w:type="pct"/>
            <w:vMerge w:val="continue"/>
            <w:vAlign w:val="center"/>
          </w:tcPr>
          <w:p w14:paraId="4921C3F6">
            <w:pPr>
              <w:snapToGrid w:val="0"/>
              <w:spacing w:line="360" w:lineRule="auto"/>
              <w:contextualSpacing/>
              <w:jc w:val="center"/>
              <w:rPr>
                <w:color w:val="000000" w:themeColor="text1"/>
              </w:rPr>
            </w:pPr>
          </w:p>
        </w:tc>
        <w:tc>
          <w:tcPr>
            <w:tcW w:w="822" w:type="pct"/>
            <w:vAlign w:val="center"/>
          </w:tcPr>
          <w:p w14:paraId="2F679986">
            <w:pPr>
              <w:snapToGrid w:val="0"/>
              <w:spacing w:line="360" w:lineRule="auto"/>
              <w:contextualSpacing/>
              <w:jc w:val="center"/>
              <w:rPr>
                <w:color w:val="000000" w:themeColor="text1"/>
              </w:rPr>
            </w:pPr>
            <w:r>
              <w:rPr>
                <w:color w:val="000000" w:themeColor="text1"/>
              </w:rPr>
              <w:t>月</w:t>
            </w:r>
          </w:p>
        </w:tc>
        <w:tc>
          <w:tcPr>
            <w:tcW w:w="817" w:type="pct"/>
            <w:vAlign w:val="center"/>
          </w:tcPr>
          <w:p w14:paraId="34796566">
            <w:pPr>
              <w:snapToGrid w:val="0"/>
              <w:spacing w:line="360" w:lineRule="auto"/>
              <w:contextualSpacing/>
              <w:jc w:val="center"/>
              <w:rPr>
                <w:color w:val="000000" w:themeColor="text1"/>
              </w:rPr>
            </w:pPr>
            <w:r>
              <w:rPr>
                <w:color w:val="000000" w:themeColor="text1"/>
              </w:rPr>
              <w:t>万公里</w:t>
            </w:r>
          </w:p>
        </w:tc>
      </w:tr>
      <w:tr w14:paraId="1010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78" w:type="pct"/>
            <w:vAlign w:val="center"/>
          </w:tcPr>
          <w:p w14:paraId="4DFEB941">
            <w:pPr>
              <w:snapToGrid w:val="0"/>
              <w:spacing w:line="360" w:lineRule="auto"/>
              <w:contextualSpacing/>
              <w:jc w:val="center"/>
              <w:rPr>
                <w:color w:val="000000"/>
              </w:rPr>
            </w:pPr>
            <w:r>
              <w:rPr>
                <w:rFonts w:hint="eastAsia"/>
                <w:color w:val="000000"/>
              </w:rPr>
              <w:t>1</w:t>
            </w:r>
          </w:p>
        </w:tc>
        <w:tc>
          <w:tcPr>
            <w:tcW w:w="2980" w:type="pct"/>
            <w:vAlign w:val="center"/>
          </w:tcPr>
          <w:p w14:paraId="4015C3B0">
            <w:pPr>
              <w:snapToGrid w:val="0"/>
              <w:spacing w:line="360" w:lineRule="auto"/>
              <w:contextualSpacing/>
              <w:jc w:val="center"/>
              <w:rPr>
                <w:color w:val="000000"/>
              </w:rPr>
            </w:pPr>
          </w:p>
        </w:tc>
        <w:tc>
          <w:tcPr>
            <w:tcW w:w="822" w:type="pct"/>
            <w:vAlign w:val="center"/>
          </w:tcPr>
          <w:p w14:paraId="1E00FEF2">
            <w:pPr>
              <w:snapToGrid w:val="0"/>
              <w:spacing w:line="360" w:lineRule="auto"/>
              <w:contextualSpacing/>
              <w:jc w:val="center"/>
              <w:rPr>
                <w:color w:val="000000"/>
              </w:rPr>
            </w:pPr>
          </w:p>
        </w:tc>
        <w:tc>
          <w:tcPr>
            <w:tcW w:w="817" w:type="pct"/>
            <w:vAlign w:val="center"/>
          </w:tcPr>
          <w:p w14:paraId="274152BF">
            <w:pPr>
              <w:snapToGrid w:val="0"/>
              <w:spacing w:line="360" w:lineRule="auto"/>
              <w:contextualSpacing/>
              <w:jc w:val="center"/>
              <w:rPr>
                <w:color w:val="000000"/>
              </w:rPr>
            </w:pPr>
          </w:p>
        </w:tc>
      </w:tr>
      <w:tr w14:paraId="1E21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378" w:type="pct"/>
            <w:vAlign w:val="center"/>
          </w:tcPr>
          <w:p w14:paraId="5860773A">
            <w:pPr>
              <w:snapToGrid w:val="0"/>
              <w:spacing w:line="360" w:lineRule="auto"/>
              <w:contextualSpacing/>
              <w:jc w:val="center"/>
              <w:rPr>
                <w:color w:val="000000"/>
              </w:rPr>
            </w:pPr>
            <w:r>
              <w:rPr>
                <w:rFonts w:hint="eastAsia"/>
                <w:color w:val="000000"/>
              </w:rPr>
              <w:t>2</w:t>
            </w:r>
          </w:p>
        </w:tc>
        <w:tc>
          <w:tcPr>
            <w:tcW w:w="2980" w:type="pct"/>
            <w:vAlign w:val="center"/>
          </w:tcPr>
          <w:p w14:paraId="07CAD858">
            <w:pPr>
              <w:snapToGrid w:val="0"/>
              <w:spacing w:line="360" w:lineRule="auto"/>
              <w:contextualSpacing/>
              <w:jc w:val="center"/>
              <w:rPr>
                <w:color w:val="000000"/>
              </w:rPr>
            </w:pPr>
          </w:p>
        </w:tc>
        <w:tc>
          <w:tcPr>
            <w:tcW w:w="822" w:type="pct"/>
            <w:vAlign w:val="center"/>
          </w:tcPr>
          <w:p w14:paraId="0BDA6D81">
            <w:pPr>
              <w:snapToGrid w:val="0"/>
              <w:spacing w:line="360" w:lineRule="auto"/>
              <w:contextualSpacing/>
              <w:jc w:val="center"/>
              <w:rPr>
                <w:color w:val="000000"/>
              </w:rPr>
            </w:pPr>
          </w:p>
        </w:tc>
        <w:tc>
          <w:tcPr>
            <w:tcW w:w="817" w:type="pct"/>
            <w:vAlign w:val="center"/>
          </w:tcPr>
          <w:p w14:paraId="55A7B6EB">
            <w:pPr>
              <w:snapToGrid w:val="0"/>
              <w:spacing w:line="360" w:lineRule="auto"/>
              <w:contextualSpacing/>
              <w:jc w:val="center"/>
              <w:rPr>
                <w:color w:val="000000"/>
              </w:rPr>
            </w:pPr>
          </w:p>
        </w:tc>
      </w:tr>
      <w:tr w14:paraId="59D3A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78" w:type="pct"/>
            <w:vAlign w:val="center"/>
          </w:tcPr>
          <w:p w14:paraId="7AAF95B1">
            <w:pPr>
              <w:snapToGrid w:val="0"/>
              <w:spacing w:line="360" w:lineRule="auto"/>
              <w:contextualSpacing/>
              <w:jc w:val="center"/>
              <w:rPr>
                <w:color w:val="000000"/>
              </w:rPr>
            </w:pPr>
            <w:r>
              <w:rPr>
                <w:rFonts w:hint="eastAsia"/>
                <w:color w:val="000000"/>
              </w:rPr>
              <w:t>3</w:t>
            </w:r>
          </w:p>
        </w:tc>
        <w:tc>
          <w:tcPr>
            <w:tcW w:w="2980" w:type="pct"/>
            <w:vAlign w:val="center"/>
          </w:tcPr>
          <w:p w14:paraId="3D0E94B2">
            <w:pPr>
              <w:snapToGrid w:val="0"/>
              <w:spacing w:line="360" w:lineRule="auto"/>
              <w:contextualSpacing/>
              <w:jc w:val="center"/>
              <w:rPr>
                <w:color w:val="000000"/>
              </w:rPr>
            </w:pPr>
          </w:p>
        </w:tc>
        <w:tc>
          <w:tcPr>
            <w:tcW w:w="822" w:type="pct"/>
            <w:vAlign w:val="center"/>
          </w:tcPr>
          <w:p w14:paraId="736B51FE">
            <w:pPr>
              <w:snapToGrid w:val="0"/>
              <w:spacing w:line="360" w:lineRule="auto"/>
              <w:contextualSpacing/>
              <w:jc w:val="center"/>
              <w:rPr>
                <w:color w:val="000000"/>
              </w:rPr>
            </w:pPr>
          </w:p>
        </w:tc>
        <w:tc>
          <w:tcPr>
            <w:tcW w:w="817" w:type="pct"/>
            <w:vAlign w:val="center"/>
          </w:tcPr>
          <w:p w14:paraId="77357B99">
            <w:pPr>
              <w:snapToGrid w:val="0"/>
              <w:spacing w:line="360" w:lineRule="auto"/>
              <w:contextualSpacing/>
              <w:jc w:val="center"/>
              <w:rPr>
                <w:color w:val="000000"/>
              </w:rPr>
            </w:pPr>
          </w:p>
        </w:tc>
      </w:tr>
      <w:tr w14:paraId="40C8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378" w:type="pct"/>
            <w:vAlign w:val="center"/>
          </w:tcPr>
          <w:p w14:paraId="27A28C37">
            <w:pPr>
              <w:snapToGrid w:val="0"/>
              <w:spacing w:line="360" w:lineRule="auto"/>
              <w:contextualSpacing/>
              <w:jc w:val="center"/>
              <w:rPr>
                <w:color w:val="000000"/>
              </w:rPr>
            </w:pPr>
            <w:r>
              <w:rPr>
                <w:rFonts w:hint="eastAsia"/>
                <w:color w:val="000000"/>
              </w:rPr>
              <w:t>4</w:t>
            </w:r>
          </w:p>
        </w:tc>
        <w:tc>
          <w:tcPr>
            <w:tcW w:w="2980" w:type="pct"/>
            <w:vAlign w:val="center"/>
          </w:tcPr>
          <w:p w14:paraId="21E9DD91">
            <w:pPr>
              <w:snapToGrid w:val="0"/>
              <w:spacing w:line="360" w:lineRule="auto"/>
              <w:contextualSpacing/>
              <w:jc w:val="center"/>
              <w:rPr>
                <w:color w:val="000000"/>
              </w:rPr>
            </w:pPr>
          </w:p>
        </w:tc>
        <w:tc>
          <w:tcPr>
            <w:tcW w:w="822" w:type="pct"/>
            <w:vAlign w:val="center"/>
          </w:tcPr>
          <w:p w14:paraId="23E5D75F">
            <w:pPr>
              <w:snapToGrid w:val="0"/>
              <w:spacing w:line="360" w:lineRule="auto"/>
              <w:contextualSpacing/>
              <w:jc w:val="center"/>
              <w:rPr>
                <w:color w:val="000000"/>
              </w:rPr>
            </w:pPr>
          </w:p>
        </w:tc>
        <w:tc>
          <w:tcPr>
            <w:tcW w:w="817" w:type="pct"/>
            <w:vAlign w:val="center"/>
          </w:tcPr>
          <w:p w14:paraId="43842D3B">
            <w:pPr>
              <w:snapToGrid w:val="0"/>
              <w:spacing w:line="360" w:lineRule="auto"/>
              <w:contextualSpacing/>
              <w:jc w:val="center"/>
              <w:rPr>
                <w:color w:val="000000"/>
              </w:rPr>
            </w:pPr>
          </w:p>
        </w:tc>
      </w:tr>
      <w:tr w14:paraId="4A2F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000" w:type="pct"/>
            <w:gridSpan w:val="4"/>
            <w:vAlign w:val="center"/>
          </w:tcPr>
          <w:p w14:paraId="5413FE8D">
            <w:pPr>
              <w:pStyle w:val="10"/>
              <w:widowControl w:val="0"/>
              <w:snapToGrid w:val="0"/>
              <w:spacing w:before="0" w:beforeAutospacing="0" w:after="0" w:afterAutospacing="0" w:line="360" w:lineRule="auto"/>
              <w:jc w:val="both"/>
              <w:rPr>
                <w:b/>
                <w:bCs/>
                <w:color w:val="000000"/>
                <w:sz w:val="21"/>
                <w:szCs w:val="21"/>
              </w:rPr>
            </w:pPr>
            <w:r>
              <w:rPr>
                <w:rFonts w:hint="eastAsia" w:cs="Times New Roman"/>
                <w:b/>
                <w:bCs/>
                <w:color w:val="000000"/>
                <w:kern w:val="2"/>
                <w:sz w:val="21"/>
                <w:szCs w:val="21"/>
                <w:lang w:bidi="ar"/>
              </w:rPr>
              <w:t>1、未特殊说明零部件，参考此表最高标准执行；</w:t>
            </w:r>
          </w:p>
          <w:p w14:paraId="1E194735">
            <w:pPr>
              <w:pStyle w:val="10"/>
              <w:widowControl w:val="0"/>
              <w:snapToGrid w:val="0"/>
              <w:spacing w:before="0" w:beforeAutospacing="0" w:after="0" w:afterAutospacing="0" w:line="360" w:lineRule="auto"/>
              <w:jc w:val="both"/>
              <w:rPr>
                <w:b/>
                <w:bCs/>
                <w:color w:val="000000"/>
                <w:sz w:val="21"/>
                <w:szCs w:val="21"/>
              </w:rPr>
            </w:pPr>
            <w:r>
              <w:rPr>
                <w:rFonts w:hint="eastAsia" w:cs="Times New Roman"/>
                <w:b/>
                <w:bCs/>
                <w:color w:val="000000"/>
                <w:kern w:val="2"/>
                <w:sz w:val="21"/>
                <w:szCs w:val="21"/>
                <w:lang w:bidi="ar"/>
              </w:rPr>
              <w:t>2、产品名称包含但不限于表中所述，具体以实际装车为准；</w:t>
            </w:r>
          </w:p>
          <w:p w14:paraId="4ACD89E1">
            <w:pPr>
              <w:widowControl/>
              <w:jc w:val="left"/>
              <w:rPr>
                <w:color w:val="000000"/>
              </w:rPr>
            </w:pPr>
            <w:r>
              <w:rPr>
                <w:rFonts w:hint="eastAsia" w:ascii="宋体" w:hAnsi="宋体"/>
                <w:b/>
                <w:bCs/>
                <w:color w:val="000000"/>
                <w:szCs w:val="21"/>
                <w:lang w:bidi="ar"/>
              </w:rPr>
              <w:t>3、乙方新增产品若无特殊说明，也按此标准执行。</w:t>
            </w:r>
            <w:r>
              <w:rPr>
                <w:rFonts w:ascii="宋体" w:hAnsi="宋体" w:cs="宋体"/>
                <w:sz w:val="24"/>
                <w:lang w:bidi="ar"/>
              </w:rPr>
              <w:t xml:space="preserve"> </w:t>
            </w:r>
          </w:p>
        </w:tc>
      </w:tr>
    </w:tbl>
    <w:p w14:paraId="1621B18B">
      <w:pPr>
        <w:snapToGrid w:val="0"/>
        <w:spacing w:line="360" w:lineRule="auto"/>
        <w:contextualSpacing/>
        <w:rPr>
          <w:rFonts w:ascii="宋体" w:hAnsi="宋体"/>
          <w:color w:val="000000"/>
          <w:szCs w:val="21"/>
        </w:rPr>
      </w:pPr>
    </w:p>
    <w:p w14:paraId="25A4D905">
      <w:pPr>
        <w:snapToGrid w:val="0"/>
        <w:spacing w:line="360" w:lineRule="auto"/>
        <w:contextualSpacing/>
        <w:rPr>
          <w:rFonts w:ascii="宋体" w:hAnsi="宋体"/>
          <w:color w:val="000000" w:themeColor="text1"/>
          <w:szCs w:val="21"/>
        </w:rPr>
      </w:pPr>
      <w:r>
        <w:rPr>
          <w:rFonts w:ascii="宋体" w:hAnsi="宋体"/>
          <w:color w:val="000000" w:themeColor="text1"/>
          <w:szCs w:val="21"/>
        </w:rPr>
        <w:t>1.1.2.3苏州金龙海外（</w:t>
      </w:r>
      <w:r>
        <w:rPr>
          <w:rFonts w:hint="eastAsia"/>
          <w:color w:val="000000" w:themeColor="text1"/>
          <w:szCs w:val="21"/>
          <w:lang w:bidi="ar"/>
        </w:rPr>
        <w:t>指中国大陆境内以外的区域，包含港澳台地区</w:t>
      </w:r>
      <w:r>
        <w:rPr>
          <w:rFonts w:ascii="宋体" w:hAnsi="宋体" w:cs="宋体"/>
          <w:color w:val="000000" w:themeColor="text1"/>
          <w:sz w:val="24"/>
        </w:rPr>
        <w:t>）</w:t>
      </w:r>
      <w:r>
        <w:rPr>
          <w:rFonts w:ascii="宋体" w:hAnsi="宋体"/>
          <w:color w:val="000000" w:themeColor="text1"/>
          <w:szCs w:val="21"/>
        </w:rPr>
        <w:t>产品最低执行标准：</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5638"/>
        <w:gridCol w:w="1618"/>
        <w:gridCol w:w="1513"/>
      </w:tblGrid>
      <w:tr w14:paraId="0723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vMerge w:val="restart"/>
            <w:vAlign w:val="center"/>
          </w:tcPr>
          <w:p w14:paraId="40265F25">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序号</w:t>
            </w:r>
          </w:p>
        </w:tc>
        <w:tc>
          <w:tcPr>
            <w:tcW w:w="5638" w:type="dxa"/>
            <w:vMerge w:val="restart"/>
            <w:vAlign w:val="center"/>
          </w:tcPr>
          <w:p w14:paraId="1B1CEF7A">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类别</w:t>
            </w:r>
          </w:p>
        </w:tc>
        <w:tc>
          <w:tcPr>
            <w:tcW w:w="3131" w:type="dxa"/>
            <w:gridSpan w:val="2"/>
            <w:vAlign w:val="center"/>
          </w:tcPr>
          <w:p w14:paraId="401BD76A">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质保时间或里程</w:t>
            </w:r>
          </w:p>
        </w:tc>
      </w:tr>
      <w:tr w14:paraId="5450C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vMerge w:val="continue"/>
            <w:vAlign w:val="center"/>
          </w:tcPr>
          <w:p w14:paraId="032C187A">
            <w:pPr>
              <w:snapToGrid w:val="0"/>
              <w:spacing w:line="360" w:lineRule="auto"/>
              <w:contextualSpacing/>
              <w:jc w:val="center"/>
              <w:rPr>
                <w:rFonts w:ascii="宋体" w:hAnsi="宋体"/>
                <w:color w:val="000000" w:themeColor="text1"/>
                <w:szCs w:val="21"/>
              </w:rPr>
            </w:pPr>
          </w:p>
        </w:tc>
        <w:tc>
          <w:tcPr>
            <w:tcW w:w="5638" w:type="dxa"/>
            <w:vMerge w:val="continue"/>
            <w:vAlign w:val="center"/>
          </w:tcPr>
          <w:p w14:paraId="4DB3ACE7">
            <w:pPr>
              <w:snapToGrid w:val="0"/>
              <w:spacing w:line="360" w:lineRule="auto"/>
              <w:contextualSpacing/>
              <w:jc w:val="center"/>
              <w:rPr>
                <w:rFonts w:ascii="宋体" w:hAnsi="宋体"/>
                <w:color w:val="000000" w:themeColor="text1"/>
                <w:szCs w:val="21"/>
              </w:rPr>
            </w:pPr>
          </w:p>
        </w:tc>
        <w:tc>
          <w:tcPr>
            <w:tcW w:w="1618" w:type="dxa"/>
            <w:vAlign w:val="center"/>
          </w:tcPr>
          <w:p w14:paraId="00FCF6B0">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月</w:t>
            </w:r>
          </w:p>
        </w:tc>
        <w:tc>
          <w:tcPr>
            <w:tcW w:w="1513" w:type="dxa"/>
            <w:vAlign w:val="center"/>
          </w:tcPr>
          <w:p w14:paraId="03905D1D">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万公里</w:t>
            </w:r>
          </w:p>
        </w:tc>
      </w:tr>
      <w:tr w14:paraId="4C3DC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vAlign w:val="center"/>
          </w:tcPr>
          <w:p w14:paraId="3984CE3A">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1</w:t>
            </w:r>
          </w:p>
        </w:tc>
        <w:tc>
          <w:tcPr>
            <w:tcW w:w="5638" w:type="dxa"/>
            <w:vAlign w:val="center"/>
          </w:tcPr>
          <w:p w14:paraId="36E869E7">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海格新V系列车型</w:t>
            </w:r>
          </w:p>
        </w:tc>
        <w:tc>
          <w:tcPr>
            <w:tcW w:w="1618" w:type="dxa"/>
            <w:vAlign w:val="center"/>
          </w:tcPr>
          <w:p w14:paraId="0D338CCD">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24</w:t>
            </w:r>
          </w:p>
        </w:tc>
        <w:tc>
          <w:tcPr>
            <w:tcW w:w="1513" w:type="dxa"/>
            <w:vAlign w:val="center"/>
          </w:tcPr>
          <w:p w14:paraId="0DAD4BB3">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20</w:t>
            </w:r>
          </w:p>
        </w:tc>
      </w:tr>
      <w:tr w14:paraId="380D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vAlign w:val="center"/>
          </w:tcPr>
          <w:p w14:paraId="780E2032">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2</w:t>
            </w:r>
          </w:p>
        </w:tc>
        <w:tc>
          <w:tcPr>
            <w:tcW w:w="5638" w:type="dxa"/>
            <w:vAlign w:val="center"/>
          </w:tcPr>
          <w:p w14:paraId="50F6257C">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海格新V系列车型以外的车型</w:t>
            </w:r>
          </w:p>
        </w:tc>
        <w:tc>
          <w:tcPr>
            <w:tcW w:w="1618" w:type="dxa"/>
            <w:vAlign w:val="center"/>
          </w:tcPr>
          <w:p w14:paraId="0E08E1B0">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24</w:t>
            </w:r>
          </w:p>
        </w:tc>
        <w:tc>
          <w:tcPr>
            <w:tcW w:w="1513" w:type="dxa"/>
            <w:vAlign w:val="center"/>
          </w:tcPr>
          <w:p w14:paraId="05C6D609">
            <w:pPr>
              <w:snapToGrid w:val="0"/>
              <w:spacing w:line="360" w:lineRule="auto"/>
              <w:contextualSpacing/>
              <w:jc w:val="center"/>
              <w:rPr>
                <w:rFonts w:ascii="宋体" w:hAnsi="宋体"/>
                <w:color w:val="000000" w:themeColor="text1"/>
                <w:szCs w:val="21"/>
              </w:rPr>
            </w:pPr>
            <w:r>
              <w:rPr>
                <w:rFonts w:ascii="宋体" w:hAnsi="宋体"/>
                <w:color w:val="000000" w:themeColor="text1"/>
                <w:szCs w:val="21"/>
              </w:rPr>
              <w:t>16</w:t>
            </w:r>
          </w:p>
        </w:tc>
      </w:tr>
      <w:tr w14:paraId="7C9B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2" w:type="dxa"/>
            <w:gridSpan w:val="4"/>
            <w:vAlign w:val="center"/>
          </w:tcPr>
          <w:p w14:paraId="068377E7">
            <w:pPr>
              <w:snapToGrid w:val="0"/>
              <w:spacing w:line="360" w:lineRule="auto"/>
              <w:contextualSpacing/>
              <w:jc w:val="left"/>
              <w:rPr>
                <w:rFonts w:ascii="宋体" w:hAnsi="宋体"/>
                <w:color w:val="000000" w:themeColor="text1"/>
                <w:szCs w:val="21"/>
              </w:rPr>
            </w:pPr>
            <w:r>
              <w:rPr>
                <w:rFonts w:ascii="宋体" w:hAnsi="宋体"/>
                <w:color w:val="000000" w:themeColor="text1"/>
                <w:szCs w:val="21"/>
              </w:rPr>
              <w:t>说明：当新能源产品的国内标准超出该标准时，按照国内标准执行。</w:t>
            </w:r>
          </w:p>
        </w:tc>
      </w:tr>
    </w:tbl>
    <w:p w14:paraId="25547A3B">
      <w:pPr>
        <w:snapToGrid w:val="0"/>
        <w:spacing w:line="360" w:lineRule="auto"/>
        <w:contextualSpacing/>
      </w:pPr>
    </w:p>
    <w:p w14:paraId="78F6B0FE">
      <w:pPr>
        <w:snapToGrid w:val="0"/>
        <w:spacing w:line="360" w:lineRule="auto"/>
        <w:contextualSpacing/>
        <w:rPr>
          <w:rFonts w:ascii="宋体" w:hAnsi="宋体"/>
          <w:szCs w:val="21"/>
        </w:rPr>
      </w:pPr>
      <w:r>
        <w:t>1.1.3</w:t>
      </w:r>
      <w:r>
        <w:rPr>
          <w:rFonts w:hint="eastAsia"/>
          <w:color w:val="000000"/>
        </w:rPr>
        <w:t>供应商</w:t>
      </w:r>
      <w:r>
        <w:rPr>
          <w:color w:val="000000"/>
        </w:rPr>
        <w:t>供货产品的质量必须满足国家、行业标准与政策要求，</w:t>
      </w:r>
      <w:r>
        <w:rPr>
          <w:rFonts w:ascii="宋体" w:hAnsi="宋体"/>
          <w:color w:val="000000"/>
          <w:szCs w:val="21"/>
        </w:rPr>
        <w:t>上述明细表中的产品品质保证期与</w:t>
      </w:r>
      <w:r>
        <w:rPr>
          <w:rFonts w:hint="eastAsia" w:ascii="宋体" w:hAnsi="宋体"/>
          <w:color w:val="000000"/>
          <w:szCs w:val="21"/>
        </w:rPr>
        <w:t>苏州金龙</w:t>
      </w:r>
      <w:r>
        <w:rPr>
          <w:rFonts w:ascii="宋体" w:hAnsi="宋体"/>
          <w:color w:val="000000"/>
          <w:szCs w:val="21"/>
        </w:rPr>
        <w:t>公司编写的</w:t>
      </w:r>
      <w:r>
        <w:rPr>
          <w:rFonts w:ascii="宋体" w:hAnsi="宋体"/>
          <w:color w:val="000000" w:themeColor="text1"/>
          <w:szCs w:val="21"/>
        </w:rPr>
        <w:t>品质保证手册规定、产品服务协议约定、技术协议约定、其他约定、供应商承诺等有冲突的，以最高标准执行。</w:t>
      </w:r>
    </w:p>
    <w:p w14:paraId="428231FB">
      <w:pPr>
        <w:snapToGrid w:val="0"/>
        <w:spacing w:line="360" w:lineRule="auto"/>
        <w:contextualSpacing/>
        <w:rPr>
          <w:rFonts w:hint="eastAsia" w:ascii="宋体" w:hAnsi="宋体"/>
          <w:color w:val="000000"/>
          <w:szCs w:val="21"/>
        </w:rPr>
      </w:pPr>
      <w:r>
        <w:rPr>
          <w:rFonts w:ascii="宋体" w:hAnsi="宋体"/>
          <w:color w:val="000000"/>
          <w:szCs w:val="21"/>
        </w:rPr>
        <w:t>1</w:t>
      </w:r>
      <w:r>
        <w:rPr>
          <w:rFonts w:hint="eastAsia" w:ascii="宋体" w:hAnsi="宋体"/>
          <w:color w:val="000000"/>
          <w:szCs w:val="21"/>
        </w:rPr>
        <w:t>.1.</w:t>
      </w:r>
      <w:r>
        <w:rPr>
          <w:rFonts w:ascii="宋体" w:hAnsi="宋体"/>
          <w:color w:val="000000"/>
          <w:szCs w:val="21"/>
        </w:rPr>
        <w:t>4</w:t>
      </w:r>
      <w:r>
        <w:rPr>
          <w:rFonts w:hint="eastAsia" w:ascii="宋体" w:hAnsi="宋体"/>
          <w:color w:val="000000"/>
          <w:szCs w:val="21"/>
        </w:rPr>
        <w:t>供应商承诺：</w:t>
      </w:r>
      <w:r>
        <w:rPr>
          <w:rFonts w:ascii="宋体" w:hAnsi="宋体"/>
          <w:color w:val="000000"/>
          <w:szCs w:val="21"/>
        </w:rPr>
        <w:t>当</w:t>
      </w:r>
      <w:r>
        <w:rPr>
          <w:rFonts w:hint="eastAsia" w:ascii="宋体" w:hAnsi="宋体"/>
          <w:color w:val="000000"/>
          <w:szCs w:val="21"/>
        </w:rPr>
        <w:t>苏州金龙</w:t>
      </w:r>
      <w:r>
        <w:rPr>
          <w:rFonts w:ascii="宋体" w:hAnsi="宋体"/>
          <w:color w:val="000000"/>
          <w:szCs w:val="21"/>
        </w:rPr>
        <w:t>产品品质保证期因政策或标准</w:t>
      </w:r>
      <w:r>
        <w:rPr>
          <w:rFonts w:hint="eastAsia" w:ascii="宋体" w:hAnsi="宋体"/>
          <w:color w:val="000000"/>
          <w:szCs w:val="21"/>
        </w:rPr>
        <w:t>发生</w:t>
      </w:r>
      <w:r>
        <w:rPr>
          <w:rFonts w:ascii="宋体" w:hAnsi="宋体"/>
          <w:color w:val="000000"/>
          <w:szCs w:val="21"/>
        </w:rPr>
        <w:t>变更，</w:t>
      </w:r>
      <w:r>
        <w:rPr>
          <w:rFonts w:hint="eastAsia" w:ascii="宋体" w:hAnsi="宋体"/>
          <w:color w:val="000000"/>
          <w:szCs w:val="21"/>
        </w:rPr>
        <w:t>供应商</w:t>
      </w:r>
      <w:r>
        <w:rPr>
          <w:rFonts w:ascii="宋体" w:hAnsi="宋体"/>
          <w:color w:val="000000"/>
          <w:szCs w:val="21"/>
        </w:rPr>
        <w:t>相应产品品质保证期发生不满足</w:t>
      </w:r>
      <w:r>
        <w:rPr>
          <w:rFonts w:hint="eastAsia" w:ascii="宋体" w:hAnsi="宋体"/>
          <w:color w:val="000000"/>
          <w:szCs w:val="21"/>
        </w:rPr>
        <w:t>苏州金龙</w:t>
      </w:r>
      <w:r>
        <w:rPr>
          <w:rFonts w:ascii="宋体" w:hAnsi="宋体"/>
          <w:color w:val="000000"/>
          <w:szCs w:val="21"/>
        </w:rPr>
        <w:t>最新标准时，</w:t>
      </w:r>
      <w:r>
        <w:rPr>
          <w:rFonts w:hint="eastAsia" w:ascii="宋体" w:hAnsi="宋体"/>
          <w:color w:val="000000"/>
          <w:szCs w:val="21"/>
        </w:rPr>
        <w:t>供应商</w:t>
      </w:r>
      <w:r>
        <w:rPr>
          <w:rFonts w:ascii="宋体" w:hAnsi="宋体"/>
          <w:color w:val="000000"/>
          <w:szCs w:val="21"/>
        </w:rPr>
        <w:t>产品的品质保证期执行最新</w:t>
      </w:r>
      <w:r>
        <w:rPr>
          <w:rFonts w:hint="eastAsia" w:ascii="宋体" w:hAnsi="宋体"/>
          <w:color w:val="000000"/>
          <w:szCs w:val="21"/>
        </w:rPr>
        <w:t>标准</w:t>
      </w:r>
      <w:r>
        <w:rPr>
          <w:rFonts w:ascii="宋体" w:hAnsi="宋体"/>
          <w:color w:val="000000"/>
          <w:szCs w:val="21"/>
        </w:rPr>
        <w:t>。</w:t>
      </w:r>
      <w:r>
        <w:rPr>
          <w:rFonts w:hint="eastAsia" w:ascii="宋体" w:hAnsi="宋体"/>
          <w:szCs w:val="21"/>
        </w:rPr>
        <w:t>供应商对所有提供给苏州金龙的物料承担售后责任延伸，要求质保期自验收合格之日起计算，至合同终止后2年止；对于安全关键零部件（如制动系统、转向系统等），质保期延长至合同终止后5年，需进行质量责任追溯。</w:t>
      </w:r>
    </w:p>
    <w:p w14:paraId="17C44513">
      <w:pPr>
        <w:spacing w:line="360" w:lineRule="auto"/>
        <w:rPr>
          <w:color w:val="000000"/>
        </w:rPr>
      </w:pPr>
      <w:r>
        <w:rPr>
          <w:rFonts w:ascii="宋体" w:hAnsi="宋体"/>
          <w:color w:val="000000"/>
          <w:szCs w:val="21"/>
        </w:rPr>
        <w:t>1</w:t>
      </w:r>
      <w:r>
        <w:rPr>
          <w:rFonts w:hint="eastAsia" w:ascii="宋体" w:hAnsi="宋体"/>
          <w:color w:val="000000"/>
          <w:szCs w:val="21"/>
        </w:rPr>
        <w:t>.1.</w:t>
      </w:r>
      <w:r>
        <w:rPr>
          <w:rFonts w:ascii="宋体" w:hAnsi="宋体"/>
          <w:color w:val="000000"/>
          <w:szCs w:val="21"/>
        </w:rPr>
        <w:t>5</w:t>
      </w:r>
      <w:r>
        <w:rPr>
          <w:rFonts w:hint="eastAsia" w:ascii="宋体" w:hAnsi="宋体"/>
          <w:color w:val="000000"/>
          <w:szCs w:val="21"/>
        </w:rPr>
        <w:t>供应商产品品质保证期的计算方式：产品到达苏州金龙后，</w:t>
      </w:r>
      <w:r>
        <w:rPr>
          <w:color w:val="000000"/>
        </w:rPr>
        <w:t>国内市场以</w:t>
      </w:r>
      <w:r>
        <w:rPr>
          <w:rFonts w:hint="eastAsia"/>
          <w:color w:val="000000"/>
        </w:rPr>
        <w:t>苏州金龙整车</w:t>
      </w:r>
      <w:r>
        <w:rPr>
          <w:color w:val="000000"/>
        </w:rPr>
        <w:t>产品自</w:t>
      </w:r>
      <w:r>
        <w:rPr>
          <w:rFonts w:hint="eastAsia"/>
          <w:color w:val="000000"/>
        </w:rPr>
        <w:t>出厂</w:t>
      </w:r>
      <w:r>
        <w:rPr>
          <w:color w:val="000000"/>
        </w:rPr>
        <w:t>之日起开始计算，品质保证期的计算方式以时间</w:t>
      </w:r>
      <w:r>
        <w:rPr>
          <w:rFonts w:hint="eastAsia"/>
          <w:color w:val="000000"/>
        </w:rPr>
        <w:t>或</w:t>
      </w:r>
      <w:r>
        <w:rPr>
          <w:color w:val="000000"/>
        </w:rPr>
        <w:t>里程先到为准。海外市场以</w:t>
      </w:r>
      <w:r>
        <w:rPr>
          <w:rFonts w:hint="eastAsia"/>
          <w:color w:val="000000"/>
        </w:rPr>
        <w:t>整车产品</w:t>
      </w:r>
      <w:r>
        <w:rPr>
          <w:color w:val="000000"/>
        </w:rPr>
        <w:t>到达进口国目的港</w:t>
      </w:r>
      <w:r>
        <w:rPr>
          <w:rFonts w:hint="eastAsia"/>
          <w:color w:val="000000"/>
        </w:rPr>
        <w:t>，</w:t>
      </w:r>
      <w:r>
        <w:rPr>
          <w:color w:val="000000"/>
        </w:rPr>
        <w:t>或者是车辆自出厂之日起计6个月后开始计算质保期，品质保证期的计算方式以时间</w:t>
      </w:r>
      <w:r>
        <w:rPr>
          <w:rFonts w:hint="eastAsia"/>
          <w:color w:val="000000"/>
        </w:rPr>
        <w:t>或</w:t>
      </w:r>
      <w:r>
        <w:rPr>
          <w:color w:val="000000"/>
        </w:rPr>
        <w:t>里程先到为准，当出现不计里程时，以时间为准。</w:t>
      </w:r>
    </w:p>
    <w:p w14:paraId="5F9AAA0A">
      <w:pPr>
        <w:pStyle w:val="3"/>
        <w:ind w:firstLine="0"/>
        <w:rPr>
          <w:rFonts w:hAnsi="宋体"/>
          <w:color w:val="000000"/>
          <w:sz w:val="21"/>
          <w:szCs w:val="21"/>
        </w:rPr>
      </w:pPr>
      <w:r>
        <w:rPr>
          <w:rFonts w:hint="default" w:hAnsi="宋体"/>
          <w:color w:val="000000"/>
          <w:sz w:val="21"/>
          <w:szCs w:val="21"/>
        </w:rPr>
        <w:t>1</w:t>
      </w:r>
      <w:r>
        <w:rPr>
          <w:rFonts w:hAnsi="宋体"/>
          <w:color w:val="000000"/>
          <w:sz w:val="21"/>
          <w:szCs w:val="21"/>
        </w:rPr>
        <w:t>.1.6因市场、订单、客情、服务等原因，以及特殊客户和批量订单需要延长产品及零部件品质保证期的，为维护多方市场利益，供应商应予以配合苏州金龙的相关政策。</w:t>
      </w:r>
    </w:p>
    <w:p w14:paraId="4B7A2E0E">
      <w:pPr>
        <w:pStyle w:val="3"/>
        <w:ind w:firstLine="0"/>
        <w:rPr>
          <w:rFonts w:hAnsi="宋体"/>
          <w:color w:val="000000"/>
          <w:sz w:val="21"/>
          <w:szCs w:val="21"/>
        </w:rPr>
      </w:pPr>
      <w:bookmarkStart w:id="0" w:name="_Hlk120608610"/>
      <w:r>
        <w:rPr>
          <w:rFonts w:hint="default" w:hAnsi="宋体"/>
          <w:color w:val="000000"/>
          <w:sz w:val="21"/>
          <w:szCs w:val="21"/>
        </w:rPr>
        <w:t>1</w:t>
      </w:r>
      <w:r>
        <w:rPr>
          <w:rFonts w:hAnsi="宋体"/>
          <w:color w:val="000000"/>
          <w:sz w:val="21"/>
          <w:szCs w:val="21"/>
        </w:rPr>
        <w:t>.1.7</w:t>
      </w:r>
      <w:bookmarkStart w:id="1" w:name="_Hlk120609623"/>
      <w:r>
        <w:rPr>
          <w:rFonts w:hAnsi="宋体"/>
          <w:sz w:val="21"/>
          <w:szCs w:val="21"/>
        </w:rPr>
        <w:t>供应商质保金需在停止供货满2年且产品质保期满后，经苏州金龙客服部书面确认同意扣除相应保修费用后方可释放质保金。</w:t>
      </w:r>
      <w:bookmarkEnd w:id="1"/>
    </w:p>
    <w:bookmarkEnd w:id="0"/>
    <w:p w14:paraId="5E0168D2">
      <w:pPr>
        <w:pStyle w:val="3"/>
        <w:snapToGrid w:val="0"/>
        <w:ind w:firstLine="0"/>
        <w:contextualSpacing/>
        <w:rPr>
          <w:rFonts w:hint="default" w:ascii="Times New Roman"/>
          <w:sz w:val="21"/>
          <w:szCs w:val="24"/>
        </w:rPr>
      </w:pPr>
    </w:p>
    <w:p w14:paraId="771F39AB">
      <w:pPr>
        <w:pStyle w:val="3"/>
        <w:snapToGrid w:val="0"/>
        <w:ind w:firstLine="0"/>
        <w:contextualSpacing/>
        <w:rPr>
          <w:rFonts w:hint="default" w:ascii="Times New Roman"/>
          <w:sz w:val="21"/>
          <w:szCs w:val="24"/>
        </w:rPr>
      </w:pPr>
      <w:r>
        <w:rPr>
          <w:rFonts w:hint="default" w:ascii="Times New Roman"/>
          <w:sz w:val="21"/>
          <w:szCs w:val="24"/>
        </w:rPr>
        <w:t>1.2 供应商产品售后服务</w:t>
      </w:r>
    </w:p>
    <w:p w14:paraId="03F45F38">
      <w:pPr>
        <w:pStyle w:val="3"/>
        <w:snapToGrid w:val="0"/>
        <w:ind w:firstLine="0"/>
        <w:contextualSpacing/>
        <w:rPr>
          <w:rFonts w:hint="default" w:ascii="Times New Roman"/>
          <w:sz w:val="21"/>
          <w:szCs w:val="24"/>
        </w:rPr>
      </w:pPr>
      <w:r>
        <w:rPr>
          <w:rFonts w:hint="default" w:ascii="Times New Roman"/>
          <w:sz w:val="21"/>
          <w:szCs w:val="24"/>
        </w:rPr>
        <w:t>1.2.1 甲方的售后服务体系由甲方客户服务部与甲方海外客户服务部组成，甲方客户服务部负责中国境内地区产品的售后服务工作，甲方海外客户服务部负责中国境外地区的产品售后服务工作。</w:t>
      </w:r>
    </w:p>
    <w:p w14:paraId="50F591D4">
      <w:pPr>
        <w:pStyle w:val="3"/>
        <w:snapToGrid w:val="0"/>
        <w:ind w:firstLine="0"/>
        <w:contextualSpacing/>
        <w:rPr>
          <w:rFonts w:hint="default" w:ascii="Times New Roman"/>
          <w:sz w:val="21"/>
          <w:szCs w:val="24"/>
        </w:rPr>
      </w:pPr>
      <w:r>
        <w:rPr>
          <w:rFonts w:hint="default" w:ascii="Times New Roman"/>
          <w:sz w:val="21"/>
          <w:szCs w:val="24"/>
        </w:rPr>
        <w:t>1.2.2</w:t>
      </w:r>
      <w:r>
        <w:rPr>
          <w:rFonts w:hAnsi="宋体"/>
          <w:color w:val="000000"/>
          <w:sz w:val="21"/>
          <w:szCs w:val="21"/>
        </w:rPr>
        <w:t>甲方服务体系是开展乙方产品售后服务工作中唯一享有全权处理的部门，</w:t>
      </w:r>
      <w:r>
        <w:rPr>
          <w:rFonts w:ascii="Times New Roman"/>
          <w:sz w:val="21"/>
          <w:szCs w:val="24"/>
        </w:rPr>
        <w:t>甲方的整车产品由甲方施行自主服务模式,统一实行整车服务，即甲方主导市场服务，乙方给予配件、技术、培训等方面的服务支持。</w:t>
      </w:r>
      <w:r>
        <w:rPr>
          <w:rFonts w:hint="default" w:ascii="Times New Roman"/>
          <w:sz w:val="21"/>
          <w:szCs w:val="24"/>
        </w:rPr>
        <w:t>在书面征得甲方服务体系的同意情况下，乙方服务体系可以独立或辅助甲方开展产品售后服务工作。</w:t>
      </w:r>
    </w:p>
    <w:p w14:paraId="0752D4AB">
      <w:pPr>
        <w:pStyle w:val="3"/>
        <w:snapToGrid w:val="0"/>
        <w:ind w:firstLine="0"/>
        <w:contextualSpacing/>
        <w:rPr>
          <w:rFonts w:hint="default" w:ascii="Times New Roman"/>
          <w:sz w:val="21"/>
          <w:szCs w:val="24"/>
        </w:rPr>
      </w:pPr>
      <w:r>
        <w:rPr>
          <w:rFonts w:ascii="Times New Roman"/>
          <w:sz w:val="21"/>
          <w:szCs w:val="24"/>
        </w:rPr>
        <w:t>1</w:t>
      </w:r>
      <w:r>
        <w:rPr>
          <w:rFonts w:hint="default" w:ascii="Times New Roman"/>
          <w:sz w:val="21"/>
          <w:szCs w:val="24"/>
        </w:rPr>
        <w:t>.2.3</w:t>
      </w:r>
      <w:r>
        <w:rPr>
          <w:rFonts w:ascii="Times New Roman"/>
          <w:sz w:val="21"/>
          <w:szCs w:val="24"/>
        </w:rPr>
        <w:t>乙方产品需要维护保养的，乙方必须参照附件3的内容详细制定维护保养方案并提供给甲方，由于乙方未及时提供，或者提供不完整的维护保养方案，由此引起的一切后果由乙方承担。</w:t>
      </w:r>
    </w:p>
    <w:p w14:paraId="77E84B7A">
      <w:pPr>
        <w:snapToGrid w:val="0"/>
        <w:spacing w:line="360" w:lineRule="auto"/>
        <w:contextualSpacing/>
      </w:pPr>
      <w:r>
        <w:t>1.2.4 乙方接到甲方服务体系的服务要求（不限于电话、传真、邮件、网上公告、书面通知等形式），对诸如现场服务、质量纠纷的会谈、诉讼等，乙方应按甲方要求的期限和内容给予积极响应并有效处理。乙方外出服务或处理投诉等终结后三日内，须以书面报告形式将处理结果传真至甲方服务体系存档</w:t>
      </w:r>
      <w:r>
        <w:rPr>
          <w:rFonts w:hint="eastAsia"/>
        </w:rPr>
        <w:t>。</w:t>
      </w:r>
    </w:p>
    <w:p w14:paraId="25A482E1">
      <w:pPr>
        <w:snapToGrid w:val="0"/>
        <w:spacing w:line="360" w:lineRule="auto"/>
        <w:contextualSpacing/>
      </w:pPr>
      <w:r>
        <w:t>1.2.5乙方协助甲方开展售后服务活动时，对于明确不是客户责任或无法明确判定为客户责任的保修活动，乙方不得以故障责任判定不清或责任判定有异议（连带故障）为由，拒绝为客户服务，而应对属于自己的故障产品先行处理并作好</w:t>
      </w:r>
      <w:r>
        <w:rPr>
          <w:rFonts w:hint="eastAsia"/>
        </w:rPr>
        <w:t>记</w:t>
      </w:r>
      <w:r>
        <w:t xml:space="preserve">录，防止事态扩大，随后再与甲方协商处理相关责任及费用。      </w:t>
      </w:r>
    </w:p>
    <w:p w14:paraId="333DB972">
      <w:pPr>
        <w:snapToGrid w:val="0"/>
        <w:spacing w:line="360" w:lineRule="auto"/>
        <w:contextualSpacing/>
      </w:pPr>
      <w:r>
        <w:t>1.2.6乙方协助处理重大或者批量产品问题时，乙方现场服务人员必须统一听从甲方服务人员协调，统一解释意见及处理口径，对待问题的解释时不能发表个人意见及承诺一切赔偿事宜。否则，因乙方服务不当（服务不及时、用户不满意、与用户矛盾激化等）所致的所有损失，由乙方承担</w:t>
      </w:r>
      <w:r>
        <w:rPr>
          <w:rFonts w:hint="eastAsia"/>
        </w:rPr>
        <w:t>。</w:t>
      </w:r>
    </w:p>
    <w:p w14:paraId="62001DBC">
      <w:pPr>
        <w:snapToGrid w:val="0"/>
        <w:spacing w:line="360" w:lineRule="auto"/>
        <w:contextualSpacing/>
      </w:pPr>
      <w:r>
        <w:t>1.2.7乙方产品超过保修期后，整车仍在运行的，乙方应继续配合甲方对其</w:t>
      </w:r>
      <w:r>
        <w:rPr>
          <w:rFonts w:hint="eastAsia"/>
        </w:rPr>
        <w:t>产品</w:t>
      </w:r>
      <w:r>
        <w:t>故障进行服务，不得以出保为由拒绝提供服务</w:t>
      </w:r>
      <w:r>
        <w:rPr>
          <w:rFonts w:hint="eastAsia"/>
        </w:rPr>
        <w:t>。</w:t>
      </w:r>
    </w:p>
    <w:p w14:paraId="39818E8A">
      <w:pPr>
        <w:snapToGrid w:val="0"/>
        <w:spacing w:line="360" w:lineRule="auto"/>
        <w:contextualSpacing/>
      </w:pPr>
      <w:r>
        <w:rPr>
          <w:rFonts w:hint="eastAsia"/>
        </w:rPr>
        <w:t>1.2.</w:t>
      </w:r>
      <w:r>
        <w:t>8甲方出于提升产品性能的考虑对已售产品实施技术升级时，如涉及乙方系统需要同步进行调整优化，乙方应给予配合。</w:t>
      </w:r>
    </w:p>
    <w:p w14:paraId="3A46046C">
      <w:pPr>
        <w:snapToGrid w:val="0"/>
        <w:spacing w:line="360" w:lineRule="auto"/>
        <w:contextualSpacing/>
      </w:pPr>
      <w:r>
        <w:rPr>
          <w:rFonts w:hint="eastAsia"/>
        </w:rPr>
        <w:t>1.2.</w:t>
      </w:r>
      <w:r>
        <w:t>9乙方</w:t>
      </w:r>
      <w:r>
        <w:rPr>
          <w:rFonts w:hint="eastAsia"/>
        </w:rPr>
        <w:t>产品</w:t>
      </w:r>
      <w:r>
        <w:t>管理系统软件优化升级的，应考虑覆盖已售产品，需要对在用车升级的，乙方书面提出，甲方许可后乙方执行。</w:t>
      </w:r>
    </w:p>
    <w:p w14:paraId="2B24773B">
      <w:pPr>
        <w:snapToGrid w:val="0"/>
        <w:spacing w:line="360" w:lineRule="auto"/>
        <w:contextualSpacing/>
      </w:pPr>
      <w:r>
        <w:rPr>
          <w:rFonts w:hint="eastAsia"/>
        </w:rPr>
        <w:t>1.2.</w:t>
      </w:r>
      <w:r>
        <w:t>10乙方产品升级应充分考虑已售产品的服务便利性，硬件应兼顾配件的可互换性，确保已售产品在故障时可以提供相关配件。</w:t>
      </w:r>
    </w:p>
    <w:p w14:paraId="30FEDDAA">
      <w:pPr>
        <w:snapToGrid w:val="0"/>
        <w:spacing w:line="360" w:lineRule="auto"/>
        <w:contextualSpacing/>
      </w:pPr>
      <w:r>
        <w:rPr>
          <w:rFonts w:hint="eastAsia"/>
        </w:rPr>
        <w:t>1.2.1</w:t>
      </w:r>
      <w:r>
        <w:t>1</w:t>
      </w:r>
      <w:r>
        <w:rPr>
          <w:rFonts w:hint="eastAsia"/>
        </w:rPr>
        <w:t>客户长期存放车辆时，乙方配合甲方做好相关的检查和维护工作。</w:t>
      </w:r>
    </w:p>
    <w:p w14:paraId="3C8A8452">
      <w:pPr>
        <w:snapToGrid w:val="0"/>
        <w:spacing w:line="360" w:lineRule="auto"/>
        <w:contextualSpacing/>
      </w:pPr>
      <w:r>
        <w:rPr>
          <w:rFonts w:hint="eastAsia"/>
        </w:rPr>
        <w:t>1.2.1</w:t>
      </w:r>
      <w:r>
        <w:t>2乙方提供的产品必须有一定的防护设计和保护措施，避免因客户过度使用或操作不当引起的报废事故（非人为故意损毁）。</w:t>
      </w:r>
      <w:r>
        <w:rPr>
          <w:rFonts w:hint="eastAsia"/>
        </w:rPr>
        <w:t>否则</w:t>
      </w:r>
      <w:r>
        <w:t>因</w:t>
      </w:r>
      <w:r>
        <w:rPr>
          <w:rFonts w:hint="eastAsia"/>
        </w:rPr>
        <w:t>此发生的</w:t>
      </w:r>
      <w:r>
        <w:t>事故，乙方承担主要责任</w:t>
      </w:r>
      <w:r>
        <w:rPr>
          <w:rFonts w:hint="eastAsia"/>
        </w:rPr>
        <w:t>。</w:t>
      </w:r>
    </w:p>
    <w:p w14:paraId="29031528">
      <w:pPr>
        <w:pStyle w:val="3"/>
        <w:snapToGrid w:val="0"/>
        <w:ind w:firstLine="0"/>
        <w:contextualSpacing/>
        <w:rPr>
          <w:rFonts w:hint="default" w:ascii="Times New Roman"/>
          <w:sz w:val="21"/>
          <w:szCs w:val="24"/>
        </w:rPr>
      </w:pPr>
    </w:p>
    <w:p w14:paraId="764F716D">
      <w:pPr>
        <w:pStyle w:val="3"/>
        <w:snapToGrid w:val="0"/>
        <w:ind w:firstLine="0"/>
        <w:contextualSpacing/>
        <w:rPr>
          <w:rFonts w:hint="default" w:ascii="Times New Roman"/>
          <w:b/>
          <w:sz w:val="21"/>
          <w:szCs w:val="24"/>
        </w:rPr>
      </w:pPr>
      <w:r>
        <w:rPr>
          <w:rFonts w:hint="default" w:ascii="Times New Roman"/>
          <w:b/>
          <w:sz w:val="21"/>
          <w:szCs w:val="24"/>
        </w:rPr>
        <w:t>二、配件供应</w:t>
      </w:r>
    </w:p>
    <w:p w14:paraId="60BF50E4">
      <w:pPr>
        <w:pStyle w:val="3"/>
        <w:snapToGrid w:val="0"/>
        <w:ind w:firstLine="0"/>
        <w:contextualSpacing/>
        <w:rPr>
          <w:rFonts w:hint="default" w:ascii="Times New Roman"/>
          <w:sz w:val="21"/>
          <w:szCs w:val="24"/>
        </w:rPr>
      </w:pPr>
      <w:r>
        <w:rPr>
          <w:rFonts w:hint="default" w:ascii="Times New Roman"/>
          <w:sz w:val="21"/>
          <w:szCs w:val="24"/>
        </w:rPr>
        <w:t>乙方必须承担其所供产品的售后配件的供应工作，乙方承认甲方客户服务部是售后市场唯一的甲方整车产品售后配件提供渠道。本着对客户负责的态度，供应甲方客户服务部配件是乙方应尽的职责，乙方不得以内部组织变化、分工不同、内部考核等因素影响配件的正常供应，甲方客户服务部仅视供应甲方生产物料的乙方部门为唯一合法的配件供应部门，乙方如想变更配件供应部门需征得甲方客户服务部的书面同意</w:t>
      </w:r>
      <w:r>
        <w:rPr>
          <w:rFonts w:ascii="Times New Roman"/>
          <w:sz w:val="21"/>
          <w:szCs w:val="24"/>
        </w:rPr>
        <w:t>。</w:t>
      </w:r>
    </w:p>
    <w:p w14:paraId="2FA13385">
      <w:pPr>
        <w:autoSpaceDE w:val="0"/>
        <w:autoSpaceDN w:val="0"/>
        <w:adjustRightInd w:val="0"/>
        <w:spacing w:line="360" w:lineRule="auto"/>
        <w:ind w:right="26"/>
      </w:pPr>
      <w:r>
        <w:t>2.1、产品报价</w:t>
      </w:r>
    </w:p>
    <w:p w14:paraId="654B61DF">
      <w:pPr>
        <w:autoSpaceDE w:val="0"/>
        <w:autoSpaceDN w:val="0"/>
        <w:adjustRightInd w:val="0"/>
        <w:spacing w:line="360" w:lineRule="auto"/>
        <w:ind w:right="26"/>
      </w:pPr>
      <w:r>
        <w:t>2.1.2 若新物料为甲方生产件的下级件，乙方需在提供新物料最终报价后30个工作日内将新物料上级件的详细拆分情况提供给甲方，详见附件</w:t>
      </w:r>
      <w:r>
        <w:rPr>
          <w:b/>
        </w:rPr>
        <w:t>《配件总成占比实例》（电子档）</w:t>
      </w:r>
      <w:r>
        <w:t>。</w:t>
      </w:r>
    </w:p>
    <w:p w14:paraId="66EBD959">
      <w:pPr>
        <w:autoSpaceDE w:val="0"/>
        <w:autoSpaceDN w:val="0"/>
        <w:adjustRightInd w:val="0"/>
        <w:spacing w:line="360" w:lineRule="auto"/>
        <w:ind w:right="26"/>
      </w:pPr>
      <w:r>
        <w:t>2.2、物料交付</w:t>
      </w:r>
    </w:p>
    <w:p w14:paraId="00FE1A9B">
      <w:pPr>
        <w:autoSpaceDE w:val="0"/>
        <w:autoSpaceDN w:val="0"/>
        <w:adjustRightInd w:val="0"/>
        <w:spacing w:line="360" w:lineRule="auto"/>
        <w:ind w:right="26"/>
      </w:pPr>
      <w:r>
        <w:t>2.2.1 供货时限.</w:t>
      </w:r>
    </w:p>
    <w:p w14:paraId="2F4F55AC">
      <w:pPr>
        <w:autoSpaceDE w:val="0"/>
        <w:autoSpaceDN w:val="0"/>
        <w:adjustRightInd w:val="0"/>
        <w:spacing w:line="360" w:lineRule="auto"/>
        <w:ind w:right="26"/>
      </w:pPr>
      <w:r>
        <w:t>2.2.1.1 为满足最终客户对配件及时性的要求，乙方应当树立“配件服务高于生产”的观念，并且急客户之所急，积极储备常用的售后配件，在甲方规定的时限内到货。乙方承诺：</w:t>
      </w:r>
    </w:p>
    <w:p w14:paraId="11966528">
      <w:pPr>
        <w:autoSpaceDE w:val="0"/>
        <w:autoSpaceDN w:val="0"/>
        <w:adjustRightInd w:val="0"/>
        <w:spacing w:line="360" w:lineRule="auto"/>
        <w:ind w:right="26"/>
      </w:pPr>
      <w:r>
        <w:rPr>
          <w:b/>
        </w:rPr>
        <w:t>生产在用件到货周期为</w:t>
      </w:r>
      <w:r>
        <w:rPr>
          <w:b/>
          <w:u w:val="single"/>
        </w:rPr>
        <w:t xml:space="preserve">  7 </w:t>
      </w:r>
      <w:r>
        <w:rPr>
          <w:b/>
        </w:rPr>
        <w:t>天，淘汰件</w:t>
      </w:r>
      <w:r>
        <w:rPr>
          <w:b/>
          <w:u w:val="single"/>
        </w:rPr>
        <w:t xml:space="preserve">  15 </w:t>
      </w:r>
      <w:r>
        <w:rPr>
          <w:b/>
        </w:rPr>
        <w:t>天</w:t>
      </w:r>
      <w:r>
        <w:t>。注：淘汰件的定义为该物料在系统订单中至少2年没有出现。1、对于甲方要求储备的配件，到货周期为发运周期，即</w:t>
      </w:r>
      <w:r>
        <w:rPr>
          <w:u w:val="single"/>
        </w:rPr>
        <w:t xml:space="preserve">     </w:t>
      </w:r>
      <w:r>
        <w:t>工作日。储备配件清单见协议附件；2、对于淘汰件，乙方必须提供所供物料淘汰件清单，淘汰件到货周期双方按双方约定执行，即按双方确认的签返日期为准，淘汰件清单见协议附件；3、储备清单、淘汰清单以外的物料按照生产到货周期执行。</w:t>
      </w:r>
    </w:p>
    <w:p w14:paraId="51B35AF4">
      <w:pPr>
        <w:autoSpaceDE w:val="0"/>
        <w:autoSpaceDN w:val="0"/>
        <w:adjustRightInd w:val="0"/>
        <w:spacing w:line="360" w:lineRule="auto"/>
        <w:ind w:right="26"/>
      </w:pPr>
      <w:r>
        <w:t>2.2.1.2</w:t>
      </w:r>
      <w:r>
        <w:rPr>
          <w:rFonts w:hint="eastAsia"/>
        </w:rPr>
        <w:t xml:space="preserve"> </w:t>
      </w:r>
      <w:r>
        <w:t>乙方在甲方供应商网站上签返采购单到货日期不可超过双方签订的协议到货周期。</w:t>
      </w:r>
    </w:p>
    <w:p w14:paraId="68B5134C">
      <w:pPr>
        <w:autoSpaceDE w:val="0"/>
        <w:autoSpaceDN w:val="0"/>
        <w:adjustRightInd w:val="0"/>
        <w:spacing w:line="360" w:lineRule="auto"/>
        <w:ind w:right="26"/>
      </w:pPr>
      <w:r>
        <w:t>2.2.1.</w:t>
      </w:r>
      <w:r>
        <w:rPr>
          <w:rFonts w:hint="eastAsia"/>
        </w:rPr>
        <w:t>3</w:t>
      </w:r>
      <w:r>
        <w:t xml:space="preserve"> 配件供货的延续性：乙方应保证所有曾供应甲方的产品及配件在整车报废期限前可供货，在整车报废期限前，乙方承诺供给甲方产品所用的生产模具、工装、夹具等生产必备工装未经甲方同意不得擅自销毁。乙方承诺对其淘汰产品，在淘汰后</w:t>
      </w:r>
      <w:r>
        <w:rPr>
          <w:b/>
        </w:rPr>
        <w:t>10年</w:t>
      </w:r>
      <w:r>
        <w:t>内，能按照甲方需求正常供应。否则，甲方有权向第三方采购或采取其他有效手段解决。由此产生的费用由乙方全额承担。</w:t>
      </w:r>
    </w:p>
    <w:p w14:paraId="05B24C3D">
      <w:pPr>
        <w:autoSpaceDE w:val="0"/>
        <w:autoSpaceDN w:val="0"/>
        <w:adjustRightInd w:val="0"/>
        <w:spacing w:line="360" w:lineRule="auto"/>
        <w:ind w:right="26"/>
      </w:pPr>
      <w:r>
        <w:rPr>
          <w:rFonts w:hint="eastAsia"/>
        </w:rPr>
        <w:t>2.2.1.4 因市场服务需要更换故障件时，原则上必须由甲方向乙方采购后才能用于服务换件。特殊情况乙方希望不经过甲方配件采购，直接发件到现场的，应向甲方书面申请，经甲方同意后，乙方直接发配件用于现场服务。</w:t>
      </w:r>
    </w:p>
    <w:p w14:paraId="24237CC7">
      <w:pPr>
        <w:autoSpaceDE w:val="0"/>
        <w:autoSpaceDN w:val="0"/>
        <w:adjustRightInd w:val="0"/>
        <w:spacing w:line="360" w:lineRule="auto"/>
        <w:ind w:right="26"/>
      </w:pPr>
      <w:r>
        <w:t>2.2.2 采购订单</w:t>
      </w:r>
    </w:p>
    <w:p w14:paraId="0076B61D">
      <w:pPr>
        <w:autoSpaceDE w:val="0"/>
        <w:autoSpaceDN w:val="0"/>
        <w:adjustRightInd w:val="0"/>
        <w:spacing w:line="360" w:lineRule="auto"/>
        <w:ind w:right="26"/>
        <w:rPr>
          <w:color w:val="000000"/>
          <w:szCs w:val="21"/>
        </w:rPr>
      </w:pPr>
      <w:r>
        <w:t>参见本协议通则“</w:t>
      </w:r>
      <w:r>
        <w:rPr>
          <w:szCs w:val="21"/>
        </w:rPr>
        <w:t>3.1</w:t>
      </w:r>
      <w:r>
        <w:rPr>
          <w:color w:val="000000"/>
          <w:szCs w:val="21"/>
        </w:rPr>
        <w:t xml:space="preserve"> </w:t>
      </w:r>
      <w:r>
        <w:rPr>
          <w:rFonts w:hint="eastAsia"/>
          <w:color w:val="000000"/>
          <w:szCs w:val="21"/>
        </w:rPr>
        <w:t>订单处理。</w:t>
      </w:r>
    </w:p>
    <w:p w14:paraId="65352583">
      <w:pPr>
        <w:autoSpaceDE w:val="0"/>
        <w:autoSpaceDN w:val="0"/>
        <w:adjustRightInd w:val="0"/>
        <w:spacing w:line="360" w:lineRule="auto"/>
        <w:ind w:right="26"/>
      </w:pPr>
      <w:r>
        <w:t>2.3、配件包装及标识</w:t>
      </w:r>
    </w:p>
    <w:p w14:paraId="42ED0E86">
      <w:pPr>
        <w:autoSpaceDE w:val="0"/>
        <w:autoSpaceDN w:val="0"/>
        <w:adjustRightInd w:val="0"/>
        <w:spacing w:line="360" w:lineRule="auto"/>
        <w:ind w:right="26"/>
        <w:rPr>
          <w:szCs w:val="21"/>
        </w:rPr>
      </w:pPr>
      <w:r>
        <w:t>参见本协议通则“</w:t>
      </w:r>
      <w:r>
        <w:rPr>
          <w:szCs w:val="21"/>
        </w:rPr>
        <w:t>二、包装和标识”</w:t>
      </w:r>
      <w:r>
        <w:rPr>
          <w:rFonts w:hint="eastAsia"/>
          <w:szCs w:val="21"/>
        </w:rPr>
        <w:t>。</w:t>
      </w:r>
    </w:p>
    <w:p w14:paraId="1B52FA42">
      <w:pPr>
        <w:autoSpaceDE w:val="0"/>
        <w:autoSpaceDN w:val="0"/>
        <w:adjustRightInd w:val="0"/>
        <w:spacing w:line="360" w:lineRule="auto"/>
        <w:ind w:right="26"/>
      </w:pPr>
    </w:p>
    <w:p w14:paraId="595765B4">
      <w:pPr>
        <w:autoSpaceDE w:val="0"/>
        <w:autoSpaceDN w:val="0"/>
        <w:adjustRightInd w:val="0"/>
        <w:spacing w:line="360" w:lineRule="auto"/>
        <w:ind w:right="26"/>
      </w:pPr>
      <w:r>
        <w:t>2.4、知识产权及配件专卖</w:t>
      </w:r>
    </w:p>
    <w:p w14:paraId="08E59F48">
      <w:pPr>
        <w:autoSpaceDE w:val="0"/>
        <w:autoSpaceDN w:val="0"/>
        <w:adjustRightInd w:val="0"/>
        <w:spacing w:line="360" w:lineRule="auto"/>
        <w:ind w:right="26"/>
        <w:rPr>
          <w:szCs w:val="21"/>
        </w:rPr>
      </w:pPr>
      <w:r>
        <w:rPr>
          <w:szCs w:val="21"/>
        </w:rPr>
        <w:t>2.4.1 甲方对所定制的产品（含双方联合开发的产品），拥有全部知识产权和市场营销权，乙方应对甲方提供的信息和技术资料保密，未经甲方书面同意，乙方不得向任何第三方提供或泄露甲方的各种技术资料，否则甲方将追究其法律责任并要求乙方承担由此造成的全部损失。</w:t>
      </w:r>
    </w:p>
    <w:p w14:paraId="6C1C4E6B">
      <w:pPr>
        <w:autoSpaceDE w:val="0"/>
        <w:autoSpaceDN w:val="0"/>
        <w:adjustRightInd w:val="0"/>
        <w:spacing w:line="360" w:lineRule="auto"/>
        <w:ind w:right="26"/>
        <w:rPr>
          <w:szCs w:val="21"/>
        </w:rPr>
      </w:pPr>
      <w:r>
        <w:rPr>
          <w:szCs w:val="21"/>
        </w:rPr>
        <w:t>2.4.2乙方为甲方定做的产品（含双方联合开发的产品），甲方享有独家使用权和经销权，未得到甲方的书面许可不得向第三方销售</w:t>
      </w:r>
      <w:r>
        <w:rPr>
          <w:rFonts w:hint="eastAsia"/>
          <w:szCs w:val="21"/>
        </w:rPr>
        <w:t>，包括</w:t>
      </w:r>
      <w:r>
        <w:rPr>
          <w:szCs w:val="21"/>
        </w:rPr>
        <w:t>甲方配件中心库、经销商、特约服务站</w:t>
      </w:r>
      <w:r>
        <w:rPr>
          <w:rFonts w:hint="eastAsia"/>
          <w:szCs w:val="21"/>
        </w:rPr>
        <w:t>。</w:t>
      </w:r>
      <w:r>
        <w:rPr>
          <w:szCs w:val="21"/>
        </w:rPr>
        <w:t>若乙方未得到甲方的书面许可销售给第三方，甲方可视违约情况，</w:t>
      </w:r>
      <w:r>
        <w:rPr>
          <w:rFonts w:hint="eastAsia"/>
          <w:szCs w:val="21"/>
        </w:rPr>
        <w:t>根据甲方向乙方全年采购额的30%进行索赔，最低不低于50000元/项目。</w:t>
      </w:r>
      <w:r>
        <w:rPr>
          <w:szCs w:val="21"/>
        </w:rPr>
        <w:t>同时乙方需要向甲方返还全部违约所得。</w:t>
      </w:r>
    </w:p>
    <w:p w14:paraId="14F940BB">
      <w:pPr>
        <w:spacing w:line="360" w:lineRule="auto"/>
        <w:rPr>
          <w:szCs w:val="21"/>
        </w:rPr>
      </w:pPr>
      <w:r>
        <w:rPr>
          <w:szCs w:val="21"/>
        </w:rPr>
        <w:t>2.4.3 甲、乙双方对在履行本协议中所知悉的对方的任何商业机密（包括甲方的订单量及产品材料等方面的要求）均应予以保密，在本协议有效期内及期满后均不得泄露，否则需赔偿对方由此而产生的各项经济损失及为索赔而支付的各项费用。</w:t>
      </w:r>
      <w:r>
        <w:rPr>
          <w:szCs w:val="21"/>
        </w:rPr>
        <w:br w:type="textWrapping"/>
      </w:r>
      <w:r>
        <w:rPr>
          <w:szCs w:val="21"/>
        </w:rPr>
        <w:t>2.4.4 乙方保证其所提供的产品没有侵犯任何第三方的知识产权。因乙方提供的产品侵犯第三方的知识产权而引起甲方的所有损失（也包括甲方所支付的律师费用）均由乙方承担。</w:t>
      </w:r>
    </w:p>
    <w:p w14:paraId="3935021A">
      <w:pPr>
        <w:spacing w:line="360" w:lineRule="auto"/>
        <w:rPr>
          <w:szCs w:val="21"/>
        </w:rPr>
      </w:pPr>
    </w:p>
    <w:p w14:paraId="419E73D1">
      <w:pPr>
        <w:spacing w:line="360" w:lineRule="auto"/>
        <w:rPr>
          <w:szCs w:val="21"/>
        </w:rPr>
      </w:pPr>
      <w:r>
        <w:rPr>
          <w:szCs w:val="21"/>
        </w:rPr>
        <w:t>2.5、积压物料处理</w:t>
      </w:r>
    </w:p>
    <w:p w14:paraId="76CDE0A1">
      <w:pPr>
        <w:spacing w:line="360" w:lineRule="auto"/>
        <w:rPr>
          <w:szCs w:val="21"/>
        </w:rPr>
      </w:pPr>
      <w:r>
        <w:rPr>
          <w:szCs w:val="21"/>
        </w:rPr>
        <w:t>2.5.1  对于滞销的配件，乙方应当积极想办法予以退货、改制。本着共赢共担风险的原则，乙方同意以以下方案处理积压物料：</w:t>
      </w:r>
    </w:p>
    <w:p w14:paraId="532F7A2C">
      <w:pPr>
        <w:spacing w:line="360" w:lineRule="auto"/>
        <w:rPr>
          <w:szCs w:val="21"/>
        </w:rPr>
      </w:pPr>
      <w:r>
        <w:rPr>
          <w:szCs w:val="21"/>
        </w:rPr>
        <w:t>2.5.1.1  若该配件非甲方专用，乙方按原价予以退回。</w:t>
      </w:r>
    </w:p>
    <w:p w14:paraId="5F6EC339">
      <w:pPr>
        <w:spacing w:line="360" w:lineRule="auto"/>
        <w:rPr>
          <w:szCs w:val="21"/>
        </w:rPr>
      </w:pPr>
      <w:r>
        <w:rPr>
          <w:szCs w:val="21"/>
        </w:rPr>
        <w:t>2.5.1.2. 若该配件为甲方专用，且通过改制可以更改为甲方其他在用物料，则乙方有义务协助甲方改制，改制所产生的费用双方协商处理。</w:t>
      </w:r>
    </w:p>
    <w:p w14:paraId="3744485C">
      <w:pPr>
        <w:spacing w:line="360" w:lineRule="auto"/>
        <w:rPr>
          <w:szCs w:val="21"/>
        </w:rPr>
      </w:pPr>
      <w:r>
        <w:rPr>
          <w:szCs w:val="21"/>
        </w:rPr>
        <w:t>2.5.1.3 若该配件为甲方专用，且无法改制后使用，甲方有权以不低于原价格5折退货给乙方，具体折扣以该配件的到货时间等由甲方双方协商。</w:t>
      </w:r>
    </w:p>
    <w:p w14:paraId="5198C56A">
      <w:pPr>
        <w:spacing w:line="360" w:lineRule="auto"/>
        <w:rPr>
          <w:szCs w:val="21"/>
        </w:rPr>
      </w:pPr>
      <w:r>
        <w:rPr>
          <w:szCs w:val="21"/>
        </w:rPr>
        <w:t>2.5.2  甲方承诺每年的退货、换货额度不大于乙方年度总供货量的20％。</w:t>
      </w:r>
    </w:p>
    <w:p w14:paraId="6CDA6519">
      <w:pPr>
        <w:spacing w:line="360" w:lineRule="auto"/>
        <w:rPr>
          <w:szCs w:val="21"/>
        </w:rPr>
      </w:pPr>
    </w:p>
    <w:p w14:paraId="11655803">
      <w:pPr>
        <w:spacing w:line="360" w:lineRule="auto"/>
        <w:rPr>
          <w:szCs w:val="21"/>
        </w:rPr>
      </w:pPr>
      <w:r>
        <w:rPr>
          <w:szCs w:val="21"/>
        </w:rPr>
        <w:t>2.6、质量保证</w:t>
      </w:r>
    </w:p>
    <w:p w14:paraId="77EE1C2A">
      <w:pPr>
        <w:spacing w:line="360" w:lineRule="auto"/>
        <w:rPr>
          <w:szCs w:val="21"/>
        </w:rPr>
      </w:pPr>
      <w:r>
        <w:rPr>
          <w:szCs w:val="21"/>
        </w:rPr>
        <w:t>乙方对所有提供给甲方的物料质量全部负责。</w:t>
      </w:r>
    </w:p>
    <w:p w14:paraId="04BB767D">
      <w:pPr>
        <w:spacing w:line="360" w:lineRule="auto"/>
        <w:rPr>
          <w:szCs w:val="21"/>
        </w:rPr>
      </w:pPr>
      <w:r>
        <w:rPr>
          <w:szCs w:val="21"/>
        </w:rPr>
        <w:t>2.6.1  乙方为甲方提供的产品，当在甲方入厂检验和市场运营中出现产品品质问题时乙方承诺按照以下方式进行处理：</w:t>
      </w:r>
    </w:p>
    <w:p w14:paraId="26BD5D5F">
      <w:pPr>
        <w:spacing w:line="360" w:lineRule="auto"/>
        <w:rPr>
          <w:szCs w:val="21"/>
        </w:rPr>
      </w:pPr>
      <w:r>
        <w:rPr>
          <w:szCs w:val="21"/>
        </w:rPr>
        <w:t>2.6.1.1 发现不合格品或疑似不合格品后，乙方接到甲方通知（书面或电话）48小时内将配件库内所有不合格品或疑似不合格品移除；如甲方提出要求，乙方应组织有资质的人员到现场进行挑选和检验，如乙方无法进行挑选，则启动由甲方或甲方认可的第三方对产品进行挑选，由此产生的费用由乙方承担，挑选的结果同时通知甲方和乙方。</w:t>
      </w:r>
    </w:p>
    <w:p w14:paraId="49B3D5AF">
      <w:pPr>
        <w:spacing w:line="360" w:lineRule="auto"/>
      </w:pPr>
      <w:r>
        <w:rPr>
          <w:szCs w:val="21"/>
        </w:rPr>
        <w:t>2.6.1.2 甲方有权按照《</w:t>
      </w:r>
      <w:r>
        <w:t>品质保证协议》对乙方进行质量考核。</w:t>
      </w:r>
    </w:p>
    <w:p w14:paraId="1319820E">
      <w:pPr>
        <w:spacing w:line="360" w:lineRule="auto"/>
        <w:jc w:val="left"/>
        <w:rPr>
          <w:b/>
          <w:szCs w:val="21"/>
        </w:rPr>
      </w:pPr>
    </w:p>
    <w:p w14:paraId="549F00A4">
      <w:pPr>
        <w:spacing w:line="360" w:lineRule="auto"/>
        <w:jc w:val="left"/>
        <w:rPr>
          <w:b/>
          <w:color w:val="000000"/>
          <w:szCs w:val="21"/>
        </w:rPr>
      </w:pPr>
      <w:r>
        <w:rPr>
          <w:b/>
          <w:color w:val="000000"/>
          <w:szCs w:val="21"/>
        </w:rPr>
        <w:t>三、资料管理及技术培训</w:t>
      </w:r>
    </w:p>
    <w:p w14:paraId="72E87E33">
      <w:pPr>
        <w:autoSpaceDE w:val="0"/>
        <w:autoSpaceDN w:val="0"/>
        <w:adjustRightInd w:val="0"/>
        <w:spacing w:line="360" w:lineRule="auto"/>
        <w:ind w:right="26"/>
        <w:rPr>
          <w:color w:val="000000"/>
        </w:rPr>
      </w:pPr>
      <w:r>
        <w:rPr>
          <w:color w:val="000000"/>
        </w:rPr>
        <w:t>3.1</w:t>
      </w:r>
      <w:r>
        <w:rPr>
          <w:color w:val="000000"/>
          <w:szCs w:val="21"/>
        </w:rPr>
        <w:t>资料管理</w:t>
      </w:r>
      <w:r>
        <w:rPr>
          <w:color w:val="000000"/>
        </w:rPr>
        <w:t>参见本协议通则</w:t>
      </w:r>
    </w:p>
    <w:p w14:paraId="5C3E5693">
      <w:pPr>
        <w:pStyle w:val="3"/>
        <w:snapToGrid w:val="0"/>
        <w:ind w:firstLine="0"/>
        <w:rPr>
          <w:rFonts w:hint="default" w:ascii="Times New Roman"/>
          <w:color w:val="000000"/>
          <w:sz w:val="21"/>
          <w:szCs w:val="24"/>
        </w:rPr>
      </w:pPr>
      <w:r>
        <w:rPr>
          <w:rFonts w:hint="default" w:ascii="Times New Roman"/>
          <w:color w:val="000000"/>
          <w:sz w:val="21"/>
          <w:szCs w:val="24"/>
        </w:rPr>
        <w:t>3.2技术培训</w:t>
      </w:r>
    </w:p>
    <w:p w14:paraId="5E8C1C8B">
      <w:pPr>
        <w:pStyle w:val="3"/>
        <w:snapToGrid w:val="0"/>
        <w:ind w:firstLine="0"/>
        <w:rPr>
          <w:rFonts w:hint="default" w:ascii="Times New Roman" w:eastAsia="新宋体"/>
          <w:color w:val="000000"/>
          <w:sz w:val="21"/>
          <w:szCs w:val="21"/>
        </w:rPr>
      </w:pPr>
      <w:r>
        <w:rPr>
          <w:rFonts w:hint="default" w:ascii="Times New Roman" w:eastAsia="新宋体"/>
          <w:color w:val="000000"/>
          <w:sz w:val="21"/>
          <w:szCs w:val="21"/>
        </w:rPr>
        <w:t>3.2.1在签订供货协议后30日内向甲方免费提供一套培训用的实物（教具或教学模型等）、专用工具、培训课件资料，如果产品销往海外市场，培训资料语言必须满足客户的要求。</w:t>
      </w:r>
    </w:p>
    <w:p w14:paraId="402FE3DA">
      <w:pPr>
        <w:pStyle w:val="3"/>
        <w:snapToGrid w:val="0"/>
        <w:ind w:firstLine="0"/>
        <w:rPr>
          <w:rFonts w:hint="default" w:ascii="Times New Roman" w:eastAsia="新宋体"/>
          <w:color w:val="000000"/>
          <w:sz w:val="21"/>
          <w:szCs w:val="21"/>
        </w:rPr>
      </w:pPr>
      <w:r>
        <w:rPr>
          <w:rFonts w:ascii="Times New Roman" w:eastAsia="新宋体"/>
          <w:color w:val="000000"/>
          <w:sz w:val="21"/>
          <w:szCs w:val="21"/>
        </w:rPr>
        <w:t>如乙方拒不提供培训实物，甲方有权先从乙方购买一套产品用于培训教具制作，后向乙方进行索赔。</w:t>
      </w:r>
    </w:p>
    <w:p w14:paraId="0844F67E">
      <w:pPr>
        <w:pStyle w:val="3"/>
        <w:snapToGrid w:val="0"/>
        <w:ind w:firstLine="0"/>
        <w:rPr>
          <w:rFonts w:hint="default" w:ascii="Times New Roman" w:eastAsia="新宋体"/>
          <w:color w:val="000000"/>
          <w:sz w:val="21"/>
          <w:szCs w:val="21"/>
        </w:rPr>
      </w:pPr>
      <w:r>
        <w:rPr>
          <w:rFonts w:hint="default" w:ascii="Times New Roman" w:eastAsia="新宋体"/>
          <w:color w:val="000000"/>
          <w:sz w:val="21"/>
          <w:szCs w:val="21"/>
        </w:rPr>
        <w:t>3.2.2根据甲方的培训安排或客户需求，乙方应当免费向甲方及其用户提供产品使用和维修方面的技术培训。</w:t>
      </w:r>
    </w:p>
    <w:p w14:paraId="58B10083">
      <w:pPr>
        <w:pStyle w:val="3"/>
        <w:snapToGrid w:val="0"/>
        <w:ind w:firstLine="0"/>
        <w:rPr>
          <w:rFonts w:hint="default" w:ascii="Times New Roman" w:eastAsia="新宋体"/>
          <w:b/>
          <w:color w:val="FF0000"/>
          <w:sz w:val="21"/>
          <w:szCs w:val="21"/>
        </w:rPr>
      </w:pPr>
      <w:r>
        <w:rPr>
          <w:rFonts w:hint="default" w:ascii="Times New Roman" w:eastAsia="新宋体"/>
          <w:b/>
          <w:sz w:val="21"/>
          <w:szCs w:val="21"/>
        </w:rPr>
        <w:t>四、旧件处理</w:t>
      </w:r>
    </w:p>
    <w:p w14:paraId="196D7909">
      <w:pPr>
        <w:pStyle w:val="3"/>
        <w:snapToGrid w:val="0"/>
        <w:ind w:firstLine="0"/>
        <w:rPr>
          <w:rFonts w:hint="default" w:ascii="Times New Roman" w:eastAsia="新宋体"/>
          <w:sz w:val="21"/>
          <w:szCs w:val="21"/>
        </w:rPr>
      </w:pPr>
      <w:r>
        <w:rPr>
          <w:rFonts w:ascii="Times New Roman" w:eastAsia="新宋体"/>
          <w:sz w:val="21"/>
          <w:szCs w:val="21"/>
        </w:rPr>
        <w:t>4.1 甲方服务站保修换下来的旧件，乙方应根据需要及时到甲方服务站取回。</w:t>
      </w:r>
    </w:p>
    <w:p w14:paraId="17C900C6">
      <w:pPr>
        <w:spacing w:line="320" w:lineRule="exact"/>
        <w:rPr>
          <w:rFonts w:eastAsia="新宋体"/>
          <w:szCs w:val="21"/>
        </w:rPr>
      </w:pPr>
      <w:r>
        <w:rPr>
          <w:rFonts w:eastAsia="新宋体"/>
          <w:szCs w:val="21"/>
        </w:rPr>
        <w:t>4.2 乙方未及时到甲方服务站取回旧件的，甲方依据旧件价值、区域特性、运输便利性等确定返还明细，由服务站返回甲方旧件仓库。</w:t>
      </w:r>
    </w:p>
    <w:p w14:paraId="152F6FBE">
      <w:pPr>
        <w:spacing w:line="320" w:lineRule="exact"/>
        <w:rPr>
          <w:rFonts w:ascii="宋体"/>
        </w:rPr>
      </w:pPr>
      <w:r>
        <w:rPr>
          <w:rFonts w:eastAsia="新宋体"/>
          <w:szCs w:val="21"/>
        </w:rPr>
        <w:t>4.2.1原则上新疆、西藏地区服务站不需要返还旧件</w:t>
      </w:r>
      <w:r>
        <w:rPr>
          <w:rFonts w:hint="eastAsia" w:eastAsia="新宋体"/>
          <w:szCs w:val="21"/>
        </w:rPr>
        <w:t>；</w:t>
      </w:r>
      <w:r>
        <w:rPr>
          <w:rFonts w:hint="eastAsia" w:ascii="宋体"/>
        </w:rPr>
        <w:t>流体及易碎等无法收集类、装饰板（条）类、皮带橡胶类、标准件类、蒙皮骨架类、小型零部件（如继电器、传感器等）的旧件，服务站不需要返还。</w:t>
      </w:r>
    </w:p>
    <w:p w14:paraId="57DE8E42">
      <w:pPr>
        <w:pStyle w:val="3"/>
        <w:snapToGrid w:val="0"/>
        <w:ind w:firstLine="0"/>
        <w:rPr>
          <w:rFonts w:hint="default" w:ascii="Times New Roman" w:eastAsia="新宋体"/>
          <w:sz w:val="21"/>
          <w:szCs w:val="21"/>
        </w:rPr>
      </w:pPr>
      <w:r>
        <w:rPr>
          <w:rFonts w:ascii="Times New Roman" w:eastAsia="新宋体"/>
          <w:sz w:val="21"/>
          <w:szCs w:val="21"/>
        </w:rPr>
        <w:t>4.2.</w:t>
      </w:r>
      <w:r>
        <w:rPr>
          <w:rFonts w:hint="default" w:ascii="Times New Roman" w:eastAsia="新宋体"/>
          <w:sz w:val="21"/>
          <w:szCs w:val="21"/>
        </w:rPr>
        <w:t>2</w:t>
      </w:r>
      <w:r>
        <w:rPr>
          <w:rFonts w:ascii="Times New Roman" w:eastAsia="新宋体"/>
          <w:sz w:val="21"/>
          <w:szCs w:val="21"/>
        </w:rPr>
        <w:t>在甲方服务站返回旧件到甲方旧件仓库的运输过程中，发生的任何缺失风险由乙方承担。</w:t>
      </w:r>
    </w:p>
    <w:p w14:paraId="100469B3">
      <w:pPr>
        <w:pStyle w:val="3"/>
        <w:snapToGrid w:val="0"/>
        <w:ind w:firstLine="0"/>
        <w:rPr>
          <w:rFonts w:hint="default" w:ascii="Times New Roman" w:eastAsia="新宋体"/>
          <w:sz w:val="21"/>
          <w:szCs w:val="21"/>
        </w:rPr>
      </w:pPr>
      <w:r>
        <w:rPr>
          <w:rFonts w:ascii="Times New Roman" w:eastAsia="新宋体"/>
          <w:sz w:val="21"/>
          <w:szCs w:val="21"/>
        </w:rPr>
        <w:t>4.2.</w:t>
      </w:r>
      <w:r>
        <w:rPr>
          <w:rFonts w:hint="default" w:ascii="Times New Roman" w:eastAsia="新宋体"/>
          <w:sz w:val="21"/>
          <w:szCs w:val="21"/>
        </w:rPr>
        <w:t>3</w:t>
      </w:r>
      <w:r>
        <w:rPr>
          <w:rFonts w:ascii="Times New Roman" w:eastAsia="新宋体"/>
          <w:sz w:val="21"/>
          <w:szCs w:val="21"/>
        </w:rPr>
        <w:t>乙方应每半月到甲方旧件仓库查看并提取旧件。</w:t>
      </w:r>
    </w:p>
    <w:p w14:paraId="1457A4D6">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4.2.</w:t>
      </w:r>
      <w:r>
        <w:rPr>
          <w:rFonts w:hint="default" w:ascii="Times New Roman" w:eastAsia="新宋体"/>
          <w:color w:val="000000" w:themeColor="text1"/>
          <w:sz w:val="21"/>
          <w:szCs w:val="21"/>
        </w:rPr>
        <w:t>4</w:t>
      </w:r>
      <w:r>
        <w:rPr>
          <w:rFonts w:hAnsi="宋体"/>
          <w:color w:val="000000"/>
          <w:sz w:val="21"/>
          <w:szCs w:val="21"/>
        </w:rPr>
        <w:t>因受环保、安全等政策的影响，存放于甲方旧件仓库的旧件，甲方负责最多保留一个月，超出一个月可以无条件进行清理旧件。</w:t>
      </w:r>
    </w:p>
    <w:p w14:paraId="015B710D">
      <w:pPr>
        <w:pStyle w:val="3"/>
        <w:snapToGrid w:val="0"/>
        <w:ind w:firstLine="0"/>
        <w:rPr>
          <w:rFonts w:hint="default" w:ascii="Times New Roman" w:eastAsia="新宋体"/>
          <w:sz w:val="21"/>
          <w:szCs w:val="21"/>
        </w:rPr>
      </w:pPr>
      <w:r>
        <w:rPr>
          <w:rFonts w:ascii="Times New Roman" w:eastAsia="新宋体"/>
          <w:color w:val="000000" w:themeColor="text1"/>
          <w:sz w:val="21"/>
          <w:szCs w:val="21"/>
        </w:rPr>
        <w:t>4.3 海外旧件原则上不向乙方返还。乙方如确需返还，应提前一个月向甲方提出请</w:t>
      </w:r>
      <w:r>
        <w:rPr>
          <w:rFonts w:ascii="Times New Roman" w:eastAsia="新宋体"/>
          <w:sz w:val="21"/>
          <w:szCs w:val="21"/>
        </w:rPr>
        <w:t xml:space="preserve">求，甲方尽力配合做好旧件返还工作，产生的一切费用均由乙方自行承担。但因受各国家政策影响，甲不保证旧件一定能返回。                             </w:t>
      </w:r>
      <w:r>
        <w:rPr>
          <w:rFonts w:hAnsi="宋体" w:cs="宋体"/>
          <w:color w:val="000000"/>
          <w:szCs w:val="21"/>
        </w:rPr>
        <w:t xml:space="preserve">            </w:t>
      </w:r>
    </w:p>
    <w:p w14:paraId="2C0CA1E4">
      <w:pPr>
        <w:autoSpaceDE w:val="0"/>
        <w:autoSpaceDN w:val="0"/>
        <w:adjustRightInd w:val="0"/>
        <w:spacing w:line="360" w:lineRule="auto"/>
        <w:rPr>
          <w:rFonts w:ascii="宋体" w:hAnsi="宋体"/>
          <w:color w:val="000000"/>
          <w:szCs w:val="21"/>
        </w:rPr>
      </w:pPr>
      <w:r>
        <w:rPr>
          <w:rFonts w:eastAsia="新宋体"/>
          <w:szCs w:val="21"/>
        </w:rPr>
        <w:t xml:space="preserve">4.4 </w:t>
      </w:r>
      <w:r>
        <w:rPr>
          <w:rFonts w:hint="eastAsia" w:ascii="宋体" w:hAnsi="宋体" w:cs="宋体"/>
          <w:color w:val="000000"/>
          <w:szCs w:val="21"/>
        </w:rPr>
        <w:t>根据国家对动力电池的相关溯源规定，乙方保修更换下的废旧动力电池由方进行回收，同时乙方需要一一对应地将更换前后的动力电池编码信息报给甲方</w:t>
      </w:r>
      <w:r>
        <w:rPr>
          <w:rFonts w:ascii="宋体" w:hAnsi="宋体" w:cs="Arial"/>
          <w:bCs/>
          <w:color w:val="000000"/>
          <w:szCs w:val="21"/>
        </w:rPr>
        <w:t>。</w:t>
      </w:r>
    </w:p>
    <w:p w14:paraId="7BAB7B12">
      <w:pPr>
        <w:pStyle w:val="3"/>
        <w:snapToGrid w:val="0"/>
        <w:ind w:firstLine="0"/>
        <w:rPr>
          <w:rFonts w:hint="default" w:ascii="Times New Roman" w:eastAsia="新宋体"/>
          <w:sz w:val="21"/>
          <w:szCs w:val="21"/>
        </w:rPr>
      </w:pPr>
      <w:r>
        <w:rPr>
          <w:rFonts w:ascii="Times New Roman" w:eastAsia="新宋体"/>
          <w:sz w:val="21"/>
          <w:szCs w:val="21"/>
        </w:rPr>
        <w:t xml:space="preserve">                                                  </w:t>
      </w:r>
    </w:p>
    <w:p w14:paraId="0F584E1D">
      <w:pPr>
        <w:pStyle w:val="3"/>
        <w:snapToGrid w:val="0"/>
        <w:ind w:firstLine="0"/>
        <w:rPr>
          <w:rFonts w:hint="default" w:ascii="Times New Roman" w:eastAsia="新宋体"/>
          <w:b/>
          <w:sz w:val="21"/>
          <w:szCs w:val="21"/>
        </w:rPr>
      </w:pPr>
      <w:r>
        <w:rPr>
          <w:rFonts w:hint="default" w:ascii="Times New Roman" w:eastAsia="新宋体"/>
          <w:b/>
          <w:sz w:val="21"/>
          <w:szCs w:val="21"/>
        </w:rPr>
        <w:t>五、 售后服务费用的结算</w:t>
      </w:r>
    </w:p>
    <w:p w14:paraId="3D5270F2">
      <w:pPr>
        <w:pStyle w:val="3"/>
        <w:snapToGrid w:val="0"/>
        <w:ind w:firstLine="0"/>
        <w:rPr>
          <w:rFonts w:hint="default" w:ascii="Times New Roman" w:eastAsia="新宋体"/>
          <w:sz w:val="21"/>
          <w:szCs w:val="21"/>
        </w:rPr>
      </w:pPr>
      <w:r>
        <w:rPr>
          <w:rFonts w:ascii="Times New Roman" w:eastAsia="新宋体"/>
          <w:sz w:val="21"/>
          <w:szCs w:val="21"/>
        </w:rPr>
        <w:t>5.1 甲方为乙方的产品服务时，乙方应向甲方支付因乙方责任所导致的售后服务费用。</w:t>
      </w:r>
    </w:p>
    <w:p w14:paraId="1EC3B853">
      <w:pPr>
        <w:pStyle w:val="3"/>
        <w:snapToGrid w:val="0"/>
        <w:ind w:firstLine="0"/>
        <w:rPr>
          <w:rFonts w:hint="default" w:ascii="Times New Roman" w:eastAsia="新宋体"/>
          <w:sz w:val="21"/>
          <w:szCs w:val="21"/>
        </w:rPr>
      </w:pPr>
      <w:r>
        <w:rPr>
          <w:rFonts w:hint="default" w:ascii="Times New Roman" w:eastAsia="新宋体"/>
          <w:sz w:val="21"/>
          <w:szCs w:val="21"/>
        </w:rPr>
        <w:t>5.</w:t>
      </w:r>
      <w:r>
        <w:rPr>
          <w:rFonts w:ascii="Times New Roman" w:eastAsia="新宋体"/>
          <w:sz w:val="21"/>
          <w:szCs w:val="21"/>
        </w:rPr>
        <w:t>2</w:t>
      </w:r>
      <w:r>
        <w:rPr>
          <w:rFonts w:hint="default" w:ascii="Times New Roman" w:eastAsia="新宋体"/>
          <w:sz w:val="21"/>
          <w:szCs w:val="21"/>
        </w:rPr>
        <w:t xml:space="preserve"> </w:t>
      </w:r>
      <w:r>
        <w:rPr>
          <w:rFonts w:ascii="Times New Roman" w:eastAsia="新宋体"/>
          <w:sz w:val="21"/>
          <w:szCs w:val="21"/>
        </w:rPr>
        <w:t>售后</w:t>
      </w:r>
      <w:r>
        <w:rPr>
          <w:rFonts w:hint="default" w:ascii="Times New Roman" w:eastAsia="新宋体"/>
          <w:sz w:val="21"/>
          <w:szCs w:val="21"/>
        </w:rPr>
        <w:t>服务费用的构成：</w:t>
      </w:r>
      <w:r>
        <w:rPr>
          <w:rFonts w:ascii="Times New Roman" w:eastAsia="新宋体"/>
          <w:sz w:val="21"/>
          <w:szCs w:val="21"/>
        </w:rPr>
        <w:t>材料费、工时费、材料运费、政策性费用等，海外还包括清关综合费、代理储运管理费等。</w:t>
      </w:r>
    </w:p>
    <w:p w14:paraId="4398BCE1">
      <w:pPr>
        <w:pStyle w:val="3"/>
        <w:snapToGrid w:val="0"/>
        <w:ind w:firstLine="0"/>
        <w:rPr>
          <w:rFonts w:hint="default" w:hAnsi="宋体" w:cs="宋体"/>
          <w:color w:val="000000"/>
          <w:sz w:val="21"/>
          <w:szCs w:val="21"/>
        </w:rPr>
      </w:pPr>
      <w:r>
        <w:rPr>
          <w:rFonts w:hint="default" w:ascii="Times New Roman" w:eastAsia="新宋体"/>
          <w:sz w:val="21"/>
          <w:szCs w:val="21"/>
        </w:rPr>
        <w:t>5</w:t>
      </w:r>
      <w:r>
        <w:rPr>
          <w:rFonts w:ascii="Times New Roman" w:eastAsia="新宋体"/>
          <w:sz w:val="21"/>
          <w:szCs w:val="21"/>
        </w:rPr>
        <w:t>.2.1</w:t>
      </w:r>
      <w:r>
        <w:rPr>
          <w:rFonts w:hAnsi="宋体" w:cs="宋体"/>
          <w:color w:val="000000"/>
          <w:sz w:val="21"/>
          <w:szCs w:val="21"/>
        </w:rPr>
        <w:t>材料费用以苏州金龙保修价进行结算：</w:t>
      </w:r>
    </w:p>
    <w:p w14:paraId="5592DA22">
      <w:pPr>
        <w:pStyle w:val="3"/>
        <w:snapToGrid w:val="0"/>
        <w:ind w:firstLine="0"/>
        <w:rPr>
          <w:rFonts w:hAnsi="宋体" w:cs="宋体"/>
          <w:color w:val="000000" w:themeColor="text1"/>
          <w:sz w:val="21"/>
          <w:szCs w:val="21"/>
        </w:rPr>
      </w:pPr>
      <w:r>
        <w:rPr>
          <w:rFonts w:hint="default" w:hAnsi="宋体" w:cs="宋体"/>
          <w:color w:val="000000" w:themeColor="text1"/>
          <w:sz w:val="21"/>
          <w:szCs w:val="21"/>
        </w:rPr>
        <w:t>5.2.1.1</w:t>
      </w:r>
      <w:r>
        <w:rPr>
          <w:rFonts w:hAnsi="宋体" w:cs="宋体"/>
          <w:color w:val="000000" w:themeColor="text1"/>
          <w:sz w:val="21"/>
          <w:szCs w:val="21"/>
        </w:rPr>
        <w:t>配件保修价格</w:t>
      </w:r>
      <w:r>
        <w:rPr>
          <w:rFonts w:hint="default" w:hAnsi="宋体" w:cs="宋体"/>
          <w:color w:val="000000" w:themeColor="text1"/>
          <w:sz w:val="21"/>
          <w:szCs w:val="21"/>
        </w:rPr>
        <w:t>=</w:t>
      </w:r>
      <w:r>
        <w:rPr>
          <w:rFonts w:hAnsi="宋体" w:cs="宋体"/>
          <w:color w:val="000000" w:themeColor="text1"/>
          <w:sz w:val="21"/>
          <w:szCs w:val="21"/>
        </w:rPr>
        <w:t>配件基准价</w:t>
      </w:r>
      <w:r>
        <w:rPr>
          <w:rFonts w:hint="default" w:hAnsi="宋体" w:cs="宋体"/>
          <w:color w:val="000000" w:themeColor="text1"/>
          <w:sz w:val="21"/>
          <w:szCs w:val="21"/>
        </w:rPr>
        <w:t>*</w:t>
      </w:r>
      <w:r>
        <w:rPr>
          <w:rFonts w:hAnsi="宋体" w:cs="宋体"/>
          <w:color w:val="000000" w:themeColor="text1"/>
          <w:sz w:val="21"/>
          <w:szCs w:val="21"/>
        </w:rPr>
        <w:t>配件价格系数；</w:t>
      </w:r>
    </w:p>
    <w:p w14:paraId="45A5DA51">
      <w:pPr>
        <w:pStyle w:val="3"/>
        <w:snapToGrid w:val="0"/>
        <w:ind w:firstLine="0"/>
        <w:rPr>
          <w:rFonts w:hAnsi="宋体" w:cs="宋体"/>
          <w:color w:val="000000" w:themeColor="text1"/>
          <w:sz w:val="21"/>
          <w:szCs w:val="21"/>
        </w:rPr>
      </w:pPr>
      <w:r>
        <w:rPr>
          <w:rFonts w:hint="default" w:hAnsi="宋体" w:cs="宋体"/>
          <w:color w:val="000000" w:themeColor="text1"/>
          <w:sz w:val="21"/>
          <w:szCs w:val="21"/>
        </w:rPr>
        <w:t>5.2.1.2</w:t>
      </w:r>
      <w:r>
        <w:rPr>
          <w:rFonts w:hAnsi="宋体" w:cs="宋体"/>
          <w:color w:val="000000" w:themeColor="text1"/>
          <w:sz w:val="21"/>
          <w:szCs w:val="21"/>
        </w:rPr>
        <w:t>配件基准价数值的设定为：采购件依据供应商</w:t>
      </w:r>
      <w:r>
        <w:rPr>
          <w:rFonts w:hint="default" w:hAnsi="宋体" w:cs="宋体"/>
          <w:color w:val="000000" w:themeColor="text1"/>
          <w:sz w:val="21"/>
          <w:szCs w:val="21"/>
        </w:rPr>
        <w:t>&lt;AVL</w:t>
      </w:r>
      <w:r>
        <w:rPr>
          <w:rFonts w:hAnsi="宋体" w:cs="宋体"/>
          <w:color w:val="000000" w:themeColor="text1"/>
          <w:sz w:val="21"/>
          <w:szCs w:val="21"/>
        </w:rPr>
        <w:t>（电子）</w:t>
      </w:r>
      <w:r>
        <w:rPr>
          <w:rFonts w:hint="default" w:hAnsi="宋体" w:cs="宋体"/>
          <w:color w:val="000000" w:themeColor="text1"/>
          <w:sz w:val="21"/>
          <w:szCs w:val="21"/>
        </w:rPr>
        <w:t>&gt;</w:t>
      </w:r>
      <w:r>
        <w:rPr>
          <w:rFonts w:hAnsi="宋体" w:cs="宋体"/>
          <w:color w:val="000000" w:themeColor="text1"/>
          <w:sz w:val="21"/>
          <w:szCs w:val="21"/>
        </w:rPr>
        <w:t>中的有效采购价设置，数值不小于配件的实际采购价，同时基准价数值的设定要考虑配件包装、特殊运费、人员管理等综合费用；</w:t>
      </w:r>
    </w:p>
    <w:p w14:paraId="7DC72563">
      <w:pPr>
        <w:pStyle w:val="3"/>
        <w:snapToGrid w:val="0"/>
        <w:ind w:firstLine="0"/>
        <w:rPr>
          <w:rFonts w:hint="default" w:hAnsi="宋体" w:cs="宋体"/>
          <w:color w:val="000000" w:themeColor="text1"/>
          <w:sz w:val="21"/>
          <w:szCs w:val="21"/>
        </w:rPr>
      </w:pPr>
      <w:bookmarkStart w:id="2" w:name="_GoBack"/>
      <w:bookmarkEnd w:id="2"/>
      <w:r>
        <w:rPr>
          <w:rFonts w:hint="default" w:hAnsi="宋体" w:cs="宋体"/>
          <w:color w:val="000000" w:themeColor="text1"/>
          <w:sz w:val="21"/>
          <w:szCs w:val="21"/>
        </w:rPr>
        <w:t>5.2.1.3</w:t>
      </w:r>
      <w:r>
        <w:rPr>
          <w:rFonts w:hAnsi="宋体" w:cs="宋体"/>
          <w:color w:val="000000" w:themeColor="text1"/>
          <w:sz w:val="21"/>
          <w:szCs w:val="21"/>
        </w:rPr>
        <w:t>配件保修价格系数设定：基于采购渠道、历史销售量及销售额的大小、单件采购成本的大小、经销商、服务站合理利润、同行业同类配件销售价格等因素综合考虑实行分类设定，由配件运营支持工程师每年四季度组织相关人员讨论后形成《配件价格系数类别表》经审批后实施。</w:t>
      </w:r>
    </w:p>
    <w:p w14:paraId="21CD49AE">
      <w:pPr>
        <w:pStyle w:val="3"/>
        <w:snapToGrid w:val="0"/>
        <w:ind w:firstLine="0"/>
        <w:rPr>
          <w:rFonts w:hint="default" w:ascii="Times New Roman" w:eastAsia="新宋体"/>
          <w:sz w:val="21"/>
          <w:szCs w:val="21"/>
        </w:rPr>
      </w:pPr>
      <w:r>
        <w:rPr>
          <w:rFonts w:ascii="Times New Roman" w:eastAsia="新宋体"/>
          <w:sz w:val="21"/>
          <w:szCs w:val="21"/>
        </w:rPr>
        <w:t>5.2.2工时费=工时定额×工时单价×（1+政策性工时补助系数）；政策性工时补助系数依据甲方政策规定。工时单价根据服务站分类级别、区域经济、地理环境的不同有所不同。</w:t>
      </w:r>
    </w:p>
    <w:p w14:paraId="5B906E61">
      <w:pPr>
        <w:pStyle w:val="3"/>
        <w:snapToGrid w:val="0"/>
        <w:ind w:firstLine="0"/>
        <w:rPr>
          <w:rFonts w:hint="default" w:ascii="Times New Roman" w:eastAsia="新宋体"/>
          <w:sz w:val="21"/>
          <w:szCs w:val="21"/>
        </w:rPr>
      </w:pPr>
      <w:r>
        <w:rPr>
          <w:rFonts w:ascii="Times New Roman" w:eastAsia="新宋体"/>
          <w:sz w:val="21"/>
          <w:szCs w:val="21"/>
        </w:rPr>
        <w:t>5.2.3运费包括托运包装费、发件运费、提件运费、装卸费用、旧件运费等：</w:t>
      </w:r>
    </w:p>
    <w:p w14:paraId="4EE754BB">
      <w:pPr>
        <w:pStyle w:val="3"/>
        <w:snapToGrid w:val="0"/>
        <w:ind w:firstLine="0"/>
        <w:rPr>
          <w:rFonts w:hint="default" w:ascii="Times New Roman" w:eastAsia="新宋体"/>
          <w:sz w:val="21"/>
          <w:szCs w:val="21"/>
        </w:rPr>
      </w:pPr>
      <w:r>
        <w:rPr>
          <w:rFonts w:ascii="Times New Roman" w:eastAsia="新宋体"/>
          <w:sz w:val="21"/>
          <w:szCs w:val="21"/>
        </w:rPr>
        <w:t>5.2.4政策性费用包括服务站管理费，外出抢修的里程、工时补助，节假日工时补助，甲方制定的受季节性、区域性影响的补助费用等。</w:t>
      </w:r>
    </w:p>
    <w:p w14:paraId="1BAA6D71">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5.2.</w:t>
      </w:r>
      <w:r>
        <w:rPr>
          <w:rFonts w:hint="default" w:ascii="Times New Roman" w:eastAsia="新宋体"/>
          <w:color w:val="000000" w:themeColor="text1"/>
          <w:sz w:val="21"/>
          <w:szCs w:val="21"/>
        </w:rPr>
        <w:t>5</w:t>
      </w:r>
      <w:r>
        <w:rPr>
          <w:rFonts w:ascii="Times New Roman" w:eastAsia="新宋体"/>
          <w:color w:val="000000" w:themeColor="text1"/>
          <w:sz w:val="21"/>
          <w:szCs w:val="21"/>
        </w:rPr>
        <w:t>服务站管理费用（服务站办公、加班、回访等相关费用）标准：</w:t>
      </w:r>
    </w:p>
    <w:tbl>
      <w:tblPr>
        <w:tblStyle w:val="1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8"/>
        <w:gridCol w:w="3439"/>
        <w:gridCol w:w="3328"/>
      </w:tblGrid>
      <w:tr w14:paraId="0766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8" w:type="dxa"/>
            <w:shd w:val="clear" w:color="auto" w:fill="auto"/>
          </w:tcPr>
          <w:p w14:paraId="743543EA">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内容</w:t>
            </w:r>
          </w:p>
        </w:tc>
        <w:tc>
          <w:tcPr>
            <w:tcW w:w="3439" w:type="dxa"/>
            <w:shd w:val="clear" w:color="auto" w:fill="auto"/>
          </w:tcPr>
          <w:p w14:paraId="3A7B6D3B">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国内</w:t>
            </w:r>
          </w:p>
        </w:tc>
        <w:tc>
          <w:tcPr>
            <w:tcW w:w="3328" w:type="dxa"/>
            <w:shd w:val="clear" w:color="auto" w:fill="auto"/>
          </w:tcPr>
          <w:p w14:paraId="2C1A48C7">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海外</w:t>
            </w:r>
          </w:p>
        </w:tc>
      </w:tr>
      <w:tr w14:paraId="19D4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8" w:type="dxa"/>
            <w:shd w:val="clear" w:color="auto" w:fill="auto"/>
          </w:tcPr>
          <w:p w14:paraId="0A084606">
            <w:pPr>
              <w:pStyle w:val="3"/>
              <w:snapToGrid w:val="0"/>
              <w:ind w:firstLine="0"/>
              <w:rPr>
                <w:rFonts w:hint="default" w:ascii="Times New Roman" w:eastAsia="新宋体"/>
                <w:sz w:val="21"/>
                <w:szCs w:val="21"/>
              </w:rPr>
            </w:pPr>
            <w:r>
              <w:rPr>
                <w:rFonts w:ascii="Times New Roman" w:eastAsia="新宋体"/>
                <w:sz w:val="21"/>
                <w:szCs w:val="21"/>
              </w:rPr>
              <w:t>管理费</w:t>
            </w:r>
          </w:p>
        </w:tc>
        <w:tc>
          <w:tcPr>
            <w:tcW w:w="3439" w:type="dxa"/>
            <w:shd w:val="clear" w:color="auto" w:fill="auto"/>
          </w:tcPr>
          <w:p w14:paraId="7A731AE9">
            <w:pPr>
              <w:pStyle w:val="3"/>
              <w:snapToGrid w:val="0"/>
              <w:ind w:firstLine="0"/>
              <w:rPr>
                <w:rFonts w:hint="default" w:ascii="Times New Roman" w:eastAsia="新宋体"/>
                <w:sz w:val="21"/>
                <w:szCs w:val="21"/>
              </w:rPr>
            </w:pPr>
            <w:r>
              <w:rPr>
                <w:rFonts w:ascii="Times New Roman" w:eastAsia="新宋体"/>
                <w:sz w:val="21"/>
                <w:szCs w:val="21"/>
              </w:rPr>
              <w:t>保修费用×1%</w:t>
            </w:r>
          </w:p>
        </w:tc>
        <w:tc>
          <w:tcPr>
            <w:tcW w:w="3328" w:type="dxa"/>
            <w:shd w:val="clear" w:color="auto" w:fill="auto"/>
          </w:tcPr>
          <w:p w14:paraId="2CDC4878">
            <w:pPr>
              <w:pStyle w:val="3"/>
              <w:snapToGrid w:val="0"/>
              <w:ind w:firstLine="0"/>
              <w:rPr>
                <w:rFonts w:hint="default" w:ascii="Times New Roman" w:eastAsia="新宋体"/>
                <w:sz w:val="21"/>
                <w:szCs w:val="21"/>
              </w:rPr>
            </w:pPr>
            <w:r>
              <w:rPr>
                <w:rFonts w:ascii="Times New Roman" w:eastAsia="新宋体"/>
                <w:sz w:val="21"/>
                <w:szCs w:val="21"/>
              </w:rPr>
              <w:t>保修费用×15%</w:t>
            </w:r>
          </w:p>
        </w:tc>
      </w:tr>
    </w:tbl>
    <w:p w14:paraId="4DCE5FFB">
      <w:pPr>
        <w:pStyle w:val="3"/>
        <w:snapToGrid w:val="0"/>
        <w:ind w:firstLine="0"/>
        <w:rPr>
          <w:rFonts w:hint="default" w:ascii="Times New Roman" w:eastAsia="新宋体"/>
          <w:color w:val="000000" w:themeColor="text1"/>
          <w:sz w:val="21"/>
          <w:szCs w:val="21"/>
        </w:rPr>
      </w:pPr>
    </w:p>
    <w:p w14:paraId="51646D79">
      <w:pPr>
        <w:pStyle w:val="3"/>
        <w:snapToGrid w:val="0"/>
        <w:ind w:firstLine="0"/>
        <w:rPr>
          <w:rFonts w:hint="default" w:ascii="Times New Roman" w:eastAsia="新宋体"/>
          <w:color w:val="000000" w:themeColor="text1"/>
          <w:sz w:val="21"/>
          <w:szCs w:val="21"/>
        </w:rPr>
      </w:pPr>
      <w:r>
        <w:rPr>
          <w:rFonts w:hint="default" w:ascii="Times New Roman" w:eastAsia="新宋体"/>
          <w:color w:val="000000" w:themeColor="text1"/>
          <w:sz w:val="21"/>
          <w:szCs w:val="21"/>
        </w:rPr>
        <w:t xml:space="preserve">5..3 </w:t>
      </w:r>
      <w:r>
        <w:rPr>
          <w:rFonts w:ascii="Times New Roman" w:eastAsia="新宋体"/>
          <w:color w:val="000000" w:themeColor="text1"/>
          <w:sz w:val="21"/>
          <w:szCs w:val="21"/>
        </w:rPr>
        <w:t>国内服务商务政策标准</w:t>
      </w:r>
    </w:p>
    <w:p w14:paraId="2316C645">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.3.1</w:t>
      </w:r>
      <w:r>
        <w:rPr>
          <w:rFonts w:ascii="Times New Roman" w:eastAsia="新宋体"/>
          <w:color w:val="000000" w:themeColor="text1"/>
          <w:sz w:val="21"/>
          <w:szCs w:val="21"/>
        </w:rPr>
        <w:t>工时单价标准：</w:t>
      </w:r>
    </w:p>
    <w:tbl>
      <w:tblPr>
        <w:tblStyle w:val="12"/>
        <w:tblW w:w="494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9"/>
        <w:gridCol w:w="3086"/>
        <w:gridCol w:w="761"/>
        <w:gridCol w:w="761"/>
        <w:gridCol w:w="761"/>
        <w:gridCol w:w="763"/>
        <w:gridCol w:w="761"/>
        <w:gridCol w:w="761"/>
        <w:gridCol w:w="763"/>
      </w:tblGrid>
      <w:tr w14:paraId="6EDE5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554" w:type="pct"/>
            <w:vMerge w:val="restart"/>
            <w:vAlign w:val="center"/>
          </w:tcPr>
          <w:p w14:paraId="13373A61">
            <w:pPr>
              <w:adjustRightInd w:val="0"/>
              <w:snapToGrid w:val="0"/>
              <w:jc w:val="center"/>
              <w:rPr>
                <w:rFonts w:ascii="宋体" w:hAnsi="宋体" w:cs="宋体"/>
                <w:color w:val="000000"/>
                <w:szCs w:val="21"/>
              </w:rPr>
            </w:pPr>
            <w:r>
              <w:rPr>
                <w:rFonts w:hint="eastAsia" w:ascii="宋体" w:hAnsi="宋体" w:cs="宋体"/>
                <w:color w:val="000000"/>
                <w:szCs w:val="21"/>
              </w:rPr>
              <w:t>分类</w:t>
            </w:r>
          </w:p>
        </w:tc>
        <w:tc>
          <w:tcPr>
            <w:tcW w:w="1630" w:type="pct"/>
            <w:vMerge w:val="restart"/>
            <w:vAlign w:val="center"/>
          </w:tcPr>
          <w:p w14:paraId="48C75169">
            <w:pPr>
              <w:adjustRightInd w:val="0"/>
              <w:snapToGrid w:val="0"/>
              <w:jc w:val="center"/>
              <w:rPr>
                <w:rFonts w:ascii="宋体" w:hAnsi="宋体" w:cs="宋体"/>
                <w:color w:val="000000"/>
                <w:szCs w:val="21"/>
              </w:rPr>
            </w:pPr>
            <w:r>
              <w:rPr>
                <w:rFonts w:hint="eastAsia" w:ascii="宋体" w:hAnsi="宋体" w:cs="宋体"/>
                <w:color w:val="000000"/>
                <w:szCs w:val="21"/>
              </w:rPr>
              <w:t>区域</w:t>
            </w:r>
          </w:p>
        </w:tc>
        <w:tc>
          <w:tcPr>
            <w:tcW w:w="2816" w:type="pct"/>
            <w:gridSpan w:val="7"/>
            <w:vAlign w:val="center"/>
          </w:tcPr>
          <w:p w14:paraId="218B0F80">
            <w:pPr>
              <w:adjustRightInd w:val="0"/>
              <w:snapToGrid w:val="0"/>
              <w:jc w:val="center"/>
              <w:rPr>
                <w:rFonts w:ascii="宋体" w:hAnsi="宋体" w:cs="宋体"/>
                <w:color w:val="000000"/>
                <w:szCs w:val="21"/>
              </w:rPr>
            </w:pPr>
            <w:r>
              <w:rPr>
                <w:rFonts w:hint="eastAsia" w:ascii="宋体" w:hAnsi="宋体" w:cs="宋体"/>
                <w:color w:val="000000"/>
                <w:szCs w:val="21"/>
              </w:rPr>
              <w:t>服务站类别</w:t>
            </w:r>
          </w:p>
        </w:tc>
      </w:tr>
      <w:tr w14:paraId="72FF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554" w:type="pct"/>
            <w:vMerge w:val="continue"/>
            <w:vAlign w:val="center"/>
          </w:tcPr>
          <w:p w14:paraId="63210479">
            <w:pPr>
              <w:adjustRightInd w:val="0"/>
              <w:snapToGrid w:val="0"/>
              <w:jc w:val="center"/>
              <w:rPr>
                <w:rFonts w:ascii="宋体" w:hAnsi="宋体" w:cs="宋体"/>
                <w:color w:val="000000"/>
                <w:szCs w:val="21"/>
              </w:rPr>
            </w:pPr>
          </w:p>
        </w:tc>
        <w:tc>
          <w:tcPr>
            <w:tcW w:w="1630" w:type="pct"/>
            <w:vMerge w:val="continue"/>
            <w:vAlign w:val="center"/>
          </w:tcPr>
          <w:p w14:paraId="04B57C63">
            <w:pPr>
              <w:adjustRightInd w:val="0"/>
              <w:snapToGrid w:val="0"/>
              <w:jc w:val="center"/>
              <w:rPr>
                <w:rFonts w:ascii="宋体" w:hAnsi="宋体" w:cs="宋体"/>
                <w:color w:val="000000"/>
                <w:szCs w:val="21"/>
              </w:rPr>
            </w:pPr>
          </w:p>
        </w:tc>
        <w:tc>
          <w:tcPr>
            <w:tcW w:w="402" w:type="pct"/>
            <w:vAlign w:val="center"/>
          </w:tcPr>
          <w:p w14:paraId="4171A10E">
            <w:pPr>
              <w:adjustRightInd w:val="0"/>
              <w:snapToGrid w:val="0"/>
              <w:jc w:val="center"/>
              <w:rPr>
                <w:rFonts w:ascii="宋体" w:hAnsi="宋体" w:cs="宋体"/>
                <w:color w:val="000000"/>
                <w:szCs w:val="21"/>
              </w:rPr>
            </w:pPr>
            <w:r>
              <w:rPr>
                <w:rFonts w:hint="eastAsia" w:ascii="宋体" w:hAnsi="宋体" w:cs="宋体"/>
                <w:color w:val="000000"/>
                <w:szCs w:val="21"/>
              </w:rPr>
              <w:t>区域中心站</w:t>
            </w:r>
          </w:p>
        </w:tc>
        <w:tc>
          <w:tcPr>
            <w:tcW w:w="402" w:type="pct"/>
            <w:vAlign w:val="center"/>
          </w:tcPr>
          <w:p w14:paraId="3F3C6DAD">
            <w:pPr>
              <w:adjustRightInd w:val="0"/>
              <w:snapToGrid w:val="0"/>
              <w:jc w:val="center"/>
              <w:rPr>
                <w:rFonts w:ascii="宋体" w:hAnsi="宋体" w:cs="宋体"/>
                <w:color w:val="000000"/>
                <w:szCs w:val="21"/>
              </w:rPr>
            </w:pPr>
            <w:r>
              <w:rPr>
                <w:rFonts w:hint="eastAsia" w:ascii="宋体" w:hAnsi="宋体" w:cs="宋体"/>
                <w:color w:val="000000"/>
                <w:szCs w:val="21"/>
              </w:rPr>
              <w:t>3</w:t>
            </w:r>
            <w:r>
              <w:rPr>
                <w:rFonts w:ascii="宋体" w:hAnsi="宋体" w:cs="宋体"/>
                <w:color w:val="000000"/>
                <w:szCs w:val="21"/>
              </w:rPr>
              <w:t>A</w:t>
            </w:r>
            <w:r>
              <w:rPr>
                <w:rFonts w:hint="eastAsia" w:ascii="宋体" w:hAnsi="宋体" w:cs="宋体"/>
                <w:color w:val="000000"/>
                <w:szCs w:val="21"/>
              </w:rPr>
              <w:t>站</w:t>
            </w:r>
          </w:p>
        </w:tc>
        <w:tc>
          <w:tcPr>
            <w:tcW w:w="402" w:type="pct"/>
            <w:vAlign w:val="center"/>
          </w:tcPr>
          <w:p w14:paraId="0C486CA7">
            <w:pPr>
              <w:adjustRightInd w:val="0"/>
              <w:snapToGrid w:val="0"/>
              <w:jc w:val="center"/>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A</w:t>
            </w:r>
            <w:r>
              <w:rPr>
                <w:rFonts w:hint="eastAsia" w:ascii="宋体" w:hAnsi="宋体" w:cs="宋体"/>
                <w:color w:val="000000"/>
                <w:szCs w:val="21"/>
              </w:rPr>
              <w:t>站</w:t>
            </w:r>
          </w:p>
        </w:tc>
        <w:tc>
          <w:tcPr>
            <w:tcW w:w="403" w:type="pct"/>
            <w:vAlign w:val="center"/>
          </w:tcPr>
          <w:p w14:paraId="517CFE3C">
            <w:pPr>
              <w:adjustRightInd w:val="0"/>
              <w:snapToGrid w:val="0"/>
              <w:jc w:val="center"/>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A</w:t>
            </w:r>
            <w:r>
              <w:rPr>
                <w:rFonts w:hint="eastAsia" w:ascii="宋体" w:hAnsi="宋体" w:cs="宋体"/>
                <w:color w:val="000000"/>
                <w:szCs w:val="21"/>
              </w:rPr>
              <w:t>站</w:t>
            </w:r>
          </w:p>
        </w:tc>
        <w:tc>
          <w:tcPr>
            <w:tcW w:w="402" w:type="pct"/>
            <w:vAlign w:val="center"/>
          </w:tcPr>
          <w:p w14:paraId="43322D25">
            <w:pPr>
              <w:adjustRightInd w:val="0"/>
              <w:snapToGrid w:val="0"/>
              <w:jc w:val="center"/>
              <w:rPr>
                <w:rFonts w:ascii="宋体" w:hAnsi="宋体" w:cs="宋体"/>
                <w:color w:val="000000"/>
                <w:szCs w:val="21"/>
              </w:rPr>
            </w:pPr>
            <w:r>
              <w:rPr>
                <w:rFonts w:hint="eastAsia" w:ascii="宋体" w:hAnsi="宋体" w:cs="宋体"/>
                <w:color w:val="000000"/>
                <w:szCs w:val="21"/>
              </w:rPr>
              <w:t>集团</w:t>
            </w:r>
          </w:p>
          <w:p w14:paraId="76FACD1D">
            <w:pPr>
              <w:adjustRightInd w:val="0"/>
              <w:snapToGrid w:val="0"/>
              <w:jc w:val="center"/>
              <w:rPr>
                <w:rFonts w:ascii="宋体" w:hAnsi="宋体" w:cs="宋体"/>
                <w:color w:val="000000"/>
                <w:szCs w:val="21"/>
              </w:rPr>
            </w:pPr>
            <w:r>
              <w:rPr>
                <w:rFonts w:hint="eastAsia" w:ascii="宋体" w:hAnsi="宋体" w:cs="宋体"/>
                <w:color w:val="000000"/>
                <w:szCs w:val="21"/>
              </w:rPr>
              <w:t>兼修站</w:t>
            </w:r>
          </w:p>
        </w:tc>
        <w:tc>
          <w:tcPr>
            <w:tcW w:w="402" w:type="pct"/>
            <w:vAlign w:val="center"/>
          </w:tcPr>
          <w:p w14:paraId="0E9BC83A">
            <w:pPr>
              <w:adjustRightInd w:val="0"/>
              <w:snapToGrid w:val="0"/>
              <w:jc w:val="center"/>
              <w:rPr>
                <w:rFonts w:ascii="宋体" w:hAnsi="宋体" w:cs="宋体"/>
                <w:color w:val="000000"/>
                <w:szCs w:val="21"/>
              </w:rPr>
            </w:pPr>
            <w:r>
              <w:rPr>
                <w:rFonts w:hint="eastAsia" w:ascii="宋体" w:hAnsi="宋体" w:cs="宋体"/>
                <w:color w:val="000000"/>
                <w:szCs w:val="21"/>
              </w:rPr>
              <w:t>集团</w:t>
            </w:r>
          </w:p>
          <w:p w14:paraId="095D01C3">
            <w:pPr>
              <w:adjustRightInd w:val="0"/>
              <w:snapToGrid w:val="0"/>
              <w:jc w:val="center"/>
              <w:rPr>
                <w:rFonts w:ascii="宋体" w:hAnsi="宋体" w:cs="宋体"/>
                <w:color w:val="000000"/>
                <w:szCs w:val="21"/>
              </w:rPr>
            </w:pPr>
            <w:r>
              <w:rPr>
                <w:rFonts w:hint="eastAsia" w:ascii="宋体" w:hAnsi="宋体" w:cs="宋体"/>
                <w:color w:val="000000"/>
                <w:szCs w:val="21"/>
              </w:rPr>
              <w:t>自修站</w:t>
            </w:r>
          </w:p>
        </w:tc>
        <w:tc>
          <w:tcPr>
            <w:tcW w:w="403" w:type="pct"/>
            <w:vAlign w:val="center"/>
          </w:tcPr>
          <w:p w14:paraId="50193B27">
            <w:pPr>
              <w:adjustRightInd w:val="0"/>
              <w:snapToGrid w:val="0"/>
              <w:jc w:val="center"/>
              <w:rPr>
                <w:rFonts w:ascii="宋体" w:hAnsi="宋体" w:cs="宋体"/>
                <w:color w:val="000000"/>
                <w:szCs w:val="21"/>
              </w:rPr>
            </w:pPr>
            <w:r>
              <w:rPr>
                <w:rFonts w:hint="eastAsia" w:ascii="宋体" w:hAnsi="宋体" w:cs="宋体"/>
                <w:color w:val="000000"/>
                <w:szCs w:val="21"/>
              </w:rPr>
              <w:t>特许站</w:t>
            </w:r>
          </w:p>
        </w:tc>
      </w:tr>
      <w:tr w14:paraId="4D1D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4" w:type="pct"/>
            <w:vMerge w:val="restart"/>
            <w:vAlign w:val="center"/>
          </w:tcPr>
          <w:p w14:paraId="4342BD23">
            <w:pPr>
              <w:adjustRightInd w:val="0"/>
              <w:snapToGrid w:val="0"/>
              <w:jc w:val="center"/>
              <w:rPr>
                <w:rFonts w:ascii="宋体" w:hAnsi="宋体" w:cs="宋体"/>
                <w:color w:val="000000"/>
                <w:szCs w:val="21"/>
              </w:rPr>
            </w:pPr>
            <w:r>
              <w:rPr>
                <w:rFonts w:hint="eastAsia" w:ascii="宋体" w:hAnsi="宋体" w:cs="宋体"/>
                <w:color w:val="000000"/>
                <w:szCs w:val="21"/>
              </w:rPr>
              <w:t>边远</w:t>
            </w:r>
          </w:p>
          <w:p w14:paraId="725EBBDB">
            <w:pPr>
              <w:adjustRightInd w:val="0"/>
              <w:snapToGrid w:val="0"/>
              <w:jc w:val="center"/>
              <w:rPr>
                <w:rFonts w:ascii="宋体" w:hAnsi="宋体" w:cs="宋体"/>
                <w:color w:val="000000"/>
                <w:szCs w:val="21"/>
              </w:rPr>
            </w:pPr>
            <w:r>
              <w:rPr>
                <w:rFonts w:hint="eastAsia" w:ascii="宋体" w:hAnsi="宋体" w:cs="宋体"/>
                <w:color w:val="000000"/>
                <w:szCs w:val="21"/>
              </w:rPr>
              <w:t>地区</w:t>
            </w:r>
          </w:p>
        </w:tc>
        <w:tc>
          <w:tcPr>
            <w:tcW w:w="1630" w:type="pct"/>
            <w:vAlign w:val="center"/>
          </w:tcPr>
          <w:p w14:paraId="3759C016">
            <w:pPr>
              <w:adjustRightInd w:val="0"/>
              <w:snapToGrid w:val="0"/>
              <w:jc w:val="left"/>
              <w:rPr>
                <w:rFonts w:ascii="宋体" w:hAnsi="宋体" w:cs="宋体"/>
                <w:color w:val="000000"/>
                <w:szCs w:val="21"/>
              </w:rPr>
            </w:pPr>
            <w:r>
              <w:rPr>
                <w:rFonts w:hint="eastAsia" w:ascii="宋体" w:hAnsi="宋体" w:cs="宋体"/>
                <w:color w:val="000000"/>
                <w:szCs w:val="21"/>
              </w:rPr>
              <w:t>西藏阿里、昌都、那曲地区；四川阿坝、甘孜地区</w:t>
            </w:r>
          </w:p>
        </w:tc>
        <w:tc>
          <w:tcPr>
            <w:tcW w:w="1206" w:type="pct"/>
            <w:gridSpan w:val="3"/>
            <w:vAlign w:val="center"/>
          </w:tcPr>
          <w:p w14:paraId="092AEBD4">
            <w:pPr>
              <w:adjustRightInd w:val="0"/>
              <w:snapToGrid w:val="0"/>
              <w:jc w:val="center"/>
              <w:rPr>
                <w:rFonts w:ascii="宋体" w:hAnsi="宋体" w:cs="宋体"/>
                <w:color w:val="000000"/>
                <w:szCs w:val="21"/>
              </w:rPr>
            </w:pPr>
            <w:r>
              <w:rPr>
                <w:rFonts w:hint="eastAsia" w:ascii="宋体" w:hAnsi="宋体" w:cs="宋体"/>
                <w:color w:val="000000"/>
                <w:szCs w:val="21"/>
              </w:rPr>
              <w:t>32</w:t>
            </w:r>
          </w:p>
        </w:tc>
        <w:tc>
          <w:tcPr>
            <w:tcW w:w="1609" w:type="pct"/>
            <w:gridSpan w:val="4"/>
            <w:vAlign w:val="center"/>
          </w:tcPr>
          <w:p w14:paraId="4EA5E3B4">
            <w:pPr>
              <w:adjustRightInd w:val="0"/>
              <w:snapToGrid w:val="0"/>
              <w:jc w:val="center"/>
              <w:rPr>
                <w:rFonts w:ascii="宋体" w:hAnsi="宋体" w:cs="宋体"/>
                <w:color w:val="000000"/>
                <w:szCs w:val="21"/>
              </w:rPr>
            </w:pPr>
            <w:r>
              <w:rPr>
                <w:rFonts w:ascii="宋体" w:hAnsi="宋体" w:cs="宋体"/>
                <w:color w:val="000000"/>
                <w:szCs w:val="21"/>
              </w:rPr>
              <w:t>28</w:t>
            </w:r>
          </w:p>
        </w:tc>
      </w:tr>
      <w:tr w14:paraId="08BEC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4" w:type="pct"/>
            <w:vMerge w:val="continue"/>
            <w:vAlign w:val="center"/>
          </w:tcPr>
          <w:p w14:paraId="79FA30FA">
            <w:pPr>
              <w:adjustRightInd w:val="0"/>
              <w:snapToGrid w:val="0"/>
              <w:jc w:val="center"/>
              <w:rPr>
                <w:rFonts w:ascii="宋体" w:hAnsi="宋体" w:cs="宋体"/>
                <w:color w:val="000000"/>
                <w:szCs w:val="21"/>
              </w:rPr>
            </w:pPr>
          </w:p>
        </w:tc>
        <w:tc>
          <w:tcPr>
            <w:tcW w:w="1630" w:type="pct"/>
            <w:vAlign w:val="center"/>
          </w:tcPr>
          <w:p w14:paraId="0E35F21E">
            <w:pPr>
              <w:adjustRightInd w:val="0"/>
              <w:snapToGrid w:val="0"/>
              <w:jc w:val="left"/>
              <w:rPr>
                <w:rFonts w:ascii="宋体" w:hAnsi="宋体" w:cs="宋体"/>
                <w:color w:val="000000"/>
                <w:szCs w:val="21"/>
              </w:rPr>
            </w:pPr>
            <w:r>
              <w:rPr>
                <w:rFonts w:hint="eastAsia" w:ascii="宋体" w:hAnsi="宋体" w:cs="宋体"/>
                <w:color w:val="000000"/>
                <w:szCs w:val="21"/>
              </w:rPr>
              <w:t>新疆；青海；西藏（除阿里、昌都、那曲）</w:t>
            </w:r>
          </w:p>
        </w:tc>
        <w:tc>
          <w:tcPr>
            <w:tcW w:w="402" w:type="pct"/>
            <w:vAlign w:val="center"/>
          </w:tcPr>
          <w:p w14:paraId="46960FC9">
            <w:pPr>
              <w:adjustRightInd w:val="0"/>
              <w:snapToGrid w:val="0"/>
              <w:jc w:val="center"/>
              <w:rPr>
                <w:rFonts w:ascii="宋体" w:hAnsi="宋体" w:cs="宋体"/>
                <w:color w:val="000000"/>
                <w:szCs w:val="21"/>
              </w:rPr>
            </w:pPr>
            <w:r>
              <w:rPr>
                <w:rFonts w:hint="eastAsia" w:ascii="宋体" w:hAnsi="宋体" w:cs="宋体"/>
                <w:color w:val="000000"/>
                <w:szCs w:val="21"/>
              </w:rPr>
              <w:t>32</w:t>
            </w:r>
          </w:p>
        </w:tc>
        <w:tc>
          <w:tcPr>
            <w:tcW w:w="402" w:type="pct"/>
            <w:vAlign w:val="center"/>
          </w:tcPr>
          <w:p w14:paraId="05E87647">
            <w:pPr>
              <w:adjustRightInd w:val="0"/>
              <w:snapToGrid w:val="0"/>
              <w:jc w:val="center"/>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6</w:t>
            </w:r>
          </w:p>
        </w:tc>
        <w:tc>
          <w:tcPr>
            <w:tcW w:w="402" w:type="pct"/>
            <w:vAlign w:val="center"/>
          </w:tcPr>
          <w:p w14:paraId="420E369E">
            <w:pPr>
              <w:adjustRightInd w:val="0"/>
              <w:snapToGrid w:val="0"/>
              <w:jc w:val="center"/>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4</w:t>
            </w:r>
          </w:p>
        </w:tc>
        <w:tc>
          <w:tcPr>
            <w:tcW w:w="1609" w:type="pct"/>
            <w:gridSpan w:val="4"/>
            <w:vAlign w:val="center"/>
          </w:tcPr>
          <w:p w14:paraId="36522769">
            <w:pPr>
              <w:adjustRightInd w:val="0"/>
              <w:snapToGrid w:val="0"/>
              <w:jc w:val="center"/>
              <w:rPr>
                <w:rFonts w:ascii="宋体" w:hAnsi="宋体" w:cs="宋体"/>
                <w:color w:val="000000"/>
                <w:szCs w:val="21"/>
              </w:rPr>
            </w:pPr>
            <w:r>
              <w:rPr>
                <w:rFonts w:hint="eastAsia" w:ascii="宋体" w:hAnsi="宋体" w:cs="宋体"/>
                <w:color w:val="000000"/>
                <w:szCs w:val="21"/>
              </w:rPr>
              <w:t>2</w:t>
            </w:r>
            <w:r>
              <w:rPr>
                <w:rFonts w:ascii="宋体" w:hAnsi="宋体" w:cs="宋体"/>
                <w:color w:val="000000"/>
                <w:szCs w:val="21"/>
              </w:rPr>
              <w:t>2</w:t>
            </w:r>
          </w:p>
        </w:tc>
      </w:tr>
      <w:tr w14:paraId="0328B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4" w:type="pct"/>
            <w:vAlign w:val="center"/>
          </w:tcPr>
          <w:p w14:paraId="194ED19A">
            <w:pPr>
              <w:adjustRightInd w:val="0"/>
              <w:snapToGrid w:val="0"/>
              <w:jc w:val="center"/>
              <w:rPr>
                <w:rFonts w:ascii="宋体" w:hAnsi="宋体" w:cs="宋体"/>
                <w:color w:val="000000"/>
                <w:szCs w:val="21"/>
              </w:rPr>
            </w:pPr>
            <w:r>
              <w:rPr>
                <w:rFonts w:hint="eastAsia" w:ascii="宋体" w:hAnsi="宋体" w:cs="宋体"/>
                <w:color w:val="000000"/>
                <w:szCs w:val="21"/>
              </w:rPr>
              <w:t>特殊</w:t>
            </w:r>
          </w:p>
          <w:p w14:paraId="7FCBB3AB">
            <w:pPr>
              <w:adjustRightInd w:val="0"/>
              <w:snapToGrid w:val="0"/>
              <w:jc w:val="center"/>
              <w:rPr>
                <w:rFonts w:ascii="宋体" w:hAnsi="宋体" w:cs="宋体"/>
                <w:color w:val="000000"/>
                <w:szCs w:val="21"/>
              </w:rPr>
            </w:pPr>
            <w:r>
              <w:rPr>
                <w:rFonts w:hint="eastAsia" w:ascii="宋体" w:hAnsi="宋体" w:cs="宋体"/>
                <w:color w:val="000000"/>
                <w:szCs w:val="21"/>
              </w:rPr>
              <w:t>地区</w:t>
            </w:r>
          </w:p>
        </w:tc>
        <w:tc>
          <w:tcPr>
            <w:tcW w:w="1630" w:type="pct"/>
            <w:vAlign w:val="center"/>
          </w:tcPr>
          <w:p w14:paraId="44B8A633">
            <w:pPr>
              <w:adjustRightInd w:val="0"/>
              <w:snapToGrid w:val="0"/>
              <w:jc w:val="left"/>
              <w:rPr>
                <w:rFonts w:ascii="宋体" w:hAnsi="宋体" w:cs="宋体"/>
                <w:color w:val="000000"/>
                <w:szCs w:val="21"/>
              </w:rPr>
            </w:pPr>
            <w:r>
              <w:rPr>
                <w:rFonts w:hint="eastAsia" w:ascii="宋体" w:hAnsi="宋体" w:cs="宋体"/>
                <w:color w:val="000000"/>
                <w:szCs w:val="21"/>
              </w:rPr>
              <w:t>云南迪庆；甘肃甘南、酒泉；内蒙古：阿拉善、锡林浩特</w:t>
            </w:r>
          </w:p>
        </w:tc>
        <w:tc>
          <w:tcPr>
            <w:tcW w:w="402" w:type="pct"/>
            <w:vAlign w:val="center"/>
          </w:tcPr>
          <w:p w14:paraId="7ACCCEC3">
            <w:pPr>
              <w:adjustRightInd w:val="0"/>
              <w:snapToGrid w:val="0"/>
              <w:jc w:val="center"/>
              <w:rPr>
                <w:rFonts w:ascii="宋体" w:hAnsi="宋体" w:cs="宋体"/>
                <w:color w:val="000000"/>
                <w:szCs w:val="21"/>
              </w:rPr>
            </w:pPr>
            <w:r>
              <w:rPr>
                <w:rFonts w:hint="eastAsia" w:ascii="宋体" w:hAnsi="宋体" w:cs="宋体"/>
                <w:color w:val="000000"/>
                <w:szCs w:val="21"/>
              </w:rPr>
              <w:t>30</w:t>
            </w:r>
          </w:p>
        </w:tc>
        <w:tc>
          <w:tcPr>
            <w:tcW w:w="402" w:type="pct"/>
            <w:vAlign w:val="center"/>
          </w:tcPr>
          <w:p w14:paraId="1E24FFAF">
            <w:pPr>
              <w:adjustRightInd w:val="0"/>
              <w:snapToGrid w:val="0"/>
              <w:jc w:val="center"/>
              <w:rPr>
                <w:rFonts w:ascii="宋体" w:hAnsi="宋体" w:cs="宋体"/>
                <w:color w:val="000000"/>
                <w:szCs w:val="21"/>
              </w:rPr>
            </w:pPr>
            <w:r>
              <w:rPr>
                <w:rFonts w:ascii="宋体" w:hAnsi="宋体" w:cs="宋体"/>
                <w:color w:val="000000"/>
                <w:szCs w:val="21"/>
              </w:rPr>
              <w:t>24</w:t>
            </w:r>
          </w:p>
        </w:tc>
        <w:tc>
          <w:tcPr>
            <w:tcW w:w="402" w:type="pct"/>
            <w:vAlign w:val="center"/>
          </w:tcPr>
          <w:p w14:paraId="0C71A555">
            <w:pPr>
              <w:adjustRightInd w:val="0"/>
              <w:snapToGrid w:val="0"/>
              <w:jc w:val="center"/>
              <w:rPr>
                <w:rFonts w:ascii="宋体" w:hAnsi="宋体" w:cs="宋体"/>
                <w:color w:val="000000"/>
                <w:szCs w:val="21"/>
              </w:rPr>
            </w:pPr>
            <w:r>
              <w:rPr>
                <w:rFonts w:ascii="宋体" w:hAnsi="宋体" w:cs="宋体"/>
                <w:color w:val="000000"/>
                <w:szCs w:val="21"/>
              </w:rPr>
              <w:t>22</w:t>
            </w:r>
          </w:p>
        </w:tc>
        <w:tc>
          <w:tcPr>
            <w:tcW w:w="1609" w:type="pct"/>
            <w:gridSpan w:val="4"/>
            <w:vAlign w:val="center"/>
          </w:tcPr>
          <w:p w14:paraId="7EE06FAA">
            <w:pPr>
              <w:adjustRightInd w:val="0"/>
              <w:snapToGrid w:val="0"/>
              <w:jc w:val="center"/>
              <w:rPr>
                <w:rFonts w:ascii="宋体" w:hAnsi="宋体" w:cs="宋体"/>
                <w:color w:val="000000"/>
                <w:szCs w:val="21"/>
              </w:rPr>
            </w:pPr>
            <w:r>
              <w:rPr>
                <w:rFonts w:ascii="宋体" w:hAnsi="宋体" w:cs="宋体"/>
                <w:color w:val="000000"/>
                <w:szCs w:val="21"/>
              </w:rPr>
              <w:t>20</w:t>
            </w:r>
          </w:p>
        </w:tc>
      </w:tr>
      <w:tr w14:paraId="2FB11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4" w:type="pct"/>
            <w:vAlign w:val="center"/>
          </w:tcPr>
          <w:p w14:paraId="4C4F2D84">
            <w:pPr>
              <w:adjustRightInd w:val="0"/>
              <w:snapToGrid w:val="0"/>
              <w:jc w:val="center"/>
              <w:rPr>
                <w:rFonts w:ascii="宋体" w:hAnsi="宋体" w:cs="宋体"/>
                <w:color w:val="000000"/>
                <w:szCs w:val="21"/>
              </w:rPr>
            </w:pPr>
            <w:r>
              <w:rPr>
                <w:rFonts w:hint="eastAsia" w:ascii="宋体" w:hAnsi="宋体" w:cs="宋体"/>
                <w:color w:val="000000"/>
                <w:szCs w:val="21"/>
              </w:rPr>
              <w:t>一类</w:t>
            </w:r>
          </w:p>
          <w:p w14:paraId="1491F0FB">
            <w:pPr>
              <w:adjustRightInd w:val="0"/>
              <w:snapToGrid w:val="0"/>
              <w:jc w:val="center"/>
              <w:rPr>
                <w:rFonts w:ascii="宋体" w:hAnsi="宋体" w:cs="宋体"/>
                <w:color w:val="000000"/>
                <w:szCs w:val="21"/>
              </w:rPr>
            </w:pPr>
            <w:r>
              <w:rPr>
                <w:rFonts w:hint="eastAsia" w:ascii="宋体" w:hAnsi="宋体" w:cs="宋体"/>
                <w:color w:val="000000"/>
                <w:szCs w:val="21"/>
              </w:rPr>
              <w:t>地区</w:t>
            </w:r>
          </w:p>
        </w:tc>
        <w:tc>
          <w:tcPr>
            <w:tcW w:w="1630" w:type="pct"/>
            <w:vAlign w:val="center"/>
          </w:tcPr>
          <w:p w14:paraId="3DD6975D">
            <w:pPr>
              <w:adjustRightInd w:val="0"/>
              <w:snapToGrid w:val="0"/>
              <w:jc w:val="left"/>
              <w:rPr>
                <w:rFonts w:ascii="宋体" w:hAnsi="宋体" w:cs="宋体"/>
                <w:color w:val="000000"/>
                <w:szCs w:val="21"/>
              </w:rPr>
            </w:pPr>
            <w:r>
              <w:rPr>
                <w:rFonts w:hint="eastAsia" w:ascii="宋体" w:hAnsi="宋体" w:cs="宋体"/>
                <w:color w:val="000000"/>
                <w:szCs w:val="21"/>
              </w:rPr>
              <w:t>北京、上海、广州、深圳、厦门、郑州、聊城</w:t>
            </w:r>
          </w:p>
        </w:tc>
        <w:tc>
          <w:tcPr>
            <w:tcW w:w="402" w:type="pct"/>
            <w:vAlign w:val="center"/>
          </w:tcPr>
          <w:p w14:paraId="6C799DE1">
            <w:pPr>
              <w:adjustRightInd w:val="0"/>
              <w:snapToGrid w:val="0"/>
              <w:jc w:val="center"/>
              <w:rPr>
                <w:rFonts w:ascii="宋体" w:hAnsi="宋体" w:cs="宋体"/>
                <w:color w:val="000000"/>
                <w:szCs w:val="21"/>
              </w:rPr>
            </w:pPr>
            <w:r>
              <w:rPr>
                <w:rFonts w:hint="eastAsia" w:ascii="宋体" w:hAnsi="宋体" w:cs="宋体"/>
                <w:color w:val="000000"/>
                <w:szCs w:val="21"/>
              </w:rPr>
              <w:t>28</w:t>
            </w:r>
          </w:p>
        </w:tc>
        <w:tc>
          <w:tcPr>
            <w:tcW w:w="402" w:type="pct"/>
            <w:vAlign w:val="center"/>
          </w:tcPr>
          <w:p w14:paraId="10AAAB70">
            <w:pPr>
              <w:adjustRightInd w:val="0"/>
              <w:snapToGrid w:val="0"/>
              <w:jc w:val="center"/>
              <w:rPr>
                <w:rFonts w:ascii="宋体" w:hAnsi="宋体" w:cs="宋体"/>
                <w:color w:val="000000"/>
                <w:szCs w:val="21"/>
              </w:rPr>
            </w:pPr>
            <w:r>
              <w:rPr>
                <w:rFonts w:hint="eastAsia" w:ascii="宋体" w:hAnsi="宋体" w:cs="宋体"/>
                <w:color w:val="000000"/>
                <w:szCs w:val="21"/>
              </w:rPr>
              <w:t>22</w:t>
            </w:r>
          </w:p>
        </w:tc>
        <w:tc>
          <w:tcPr>
            <w:tcW w:w="402" w:type="pct"/>
            <w:vAlign w:val="center"/>
          </w:tcPr>
          <w:p w14:paraId="7E7FB456">
            <w:pPr>
              <w:adjustRightInd w:val="0"/>
              <w:snapToGrid w:val="0"/>
              <w:jc w:val="center"/>
              <w:rPr>
                <w:rFonts w:ascii="宋体" w:hAnsi="宋体" w:cs="宋体"/>
                <w:color w:val="000000"/>
                <w:szCs w:val="21"/>
              </w:rPr>
            </w:pPr>
            <w:r>
              <w:rPr>
                <w:rFonts w:hint="eastAsia" w:ascii="宋体" w:hAnsi="宋体" w:cs="宋体"/>
                <w:color w:val="000000"/>
                <w:szCs w:val="21"/>
              </w:rPr>
              <w:t>20</w:t>
            </w:r>
          </w:p>
        </w:tc>
        <w:tc>
          <w:tcPr>
            <w:tcW w:w="804" w:type="pct"/>
            <w:gridSpan w:val="2"/>
            <w:vAlign w:val="center"/>
          </w:tcPr>
          <w:p w14:paraId="0436407B">
            <w:pPr>
              <w:adjustRightInd w:val="0"/>
              <w:snapToGrid w:val="0"/>
              <w:jc w:val="center"/>
              <w:rPr>
                <w:rFonts w:ascii="宋体" w:hAnsi="宋体" w:cs="宋体"/>
                <w:color w:val="000000"/>
                <w:szCs w:val="21"/>
              </w:rPr>
            </w:pPr>
            <w:r>
              <w:rPr>
                <w:rFonts w:hint="eastAsia" w:ascii="宋体" w:hAnsi="宋体" w:cs="宋体"/>
                <w:color w:val="000000"/>
                <w:szCs w:val="21"/>
              </w:rPr>
              <w:t>19</w:t>
            </w:r>
          </w:p>
        </w:tc>
        <w:tc>
          <w:tcPr>
            <w:tcW w:w="805" w:type="pct"/>
            <w:gridSpan w:val="2"/>
            <w:vAlign w:val="center"/>
          </w:tcPr>
          <w:p w14:paraId="30545E44">
            <w:pPr>
              <w:adjustRightInd w:val="0"/>
              <w:snapToGrid w:val="0"/>
              <w:jc w:val="center"/>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7</w:t>
            </w:r>
          </w:p>
        </w:tc>
      </w:tr>
      <w:tr w14:paraId="7EBE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54" w:type="pct"/>
            <w:vAlign w:val="center"/>
          </w:tcPr>
          <w:p w14:paraId="37D761C0">
            <w:pPr>
              <w:adjustRightInd w:val="0"/>
              <w:snapToGrid w:val="0"/>
              <w:jc w:val="center"/>
              <w:rPr>
                <w:rFonts w:ascii="宋体" w:hAnsi="宋体" w:cs="宋体"/>
                <w:color w:val="000000"/>
                <w:szCs w:val="21"/>
              </w:rPr>
            </w:pPr>
            <w:r>
              <w:rPr>
                <w:rFonts w:hint="eastAsia" w:ascii="宋体" w:hAnsi="宋体" w:cs="宋体"/>
                <w:color w:val="000000"/>
                <w:szCs w:val="21"/>
              </w:rPr>
              <w:t>一般</w:t>
            </w:r>
          </w:p>
          <w:p w14:paraId="5CCDE3DB">
            <w:pPr>
              <w:adjustRightInd w:val="0"/>
              <w:snapToGrid w:val="0"/>
              <w:jc w:val="center"/>
              <w:rPr>
                <w:rFonts w:ascii="宋体" w:hAnsi="宋体" w:cs="宋体"/>
                <w:color w:val="000000"/>
                <w:szCs w:val="21"/>
              </w:rPr>
            </w:pPr>
            <w:r>
              <w:rPr>
                <w:rFonts w:hint="eastAsia" w:ascii="宋体" w:hAnsi="宋体" w:cs="宋体"/>
                <w:color w:val="000000"/>
                <w:szCs w:val="21"/>
              </w:rPr>
              <w:t>地区</w:t>
            </w:r>
          </w:p>
        </w:tc>
        <w:tc>
          <w:tcPr>
            <w:tcW w:w="1630" w:type="pct"/>
            <w:vAlign w:val="center"/>
          </w:tcPr>
          <w:p w14:paraId="61AB31FB">
            <w:pPr>
              <w:adjustRightInd w:val="0"/>
              <w:snapToGrid w:val="0"/>
              <w:jc w:val="left"/>
              <w:rPr>
                <w:rFonts w:ascii="宋体" w:hAnsi="宋体" w:cs="宋体"/>
                <w:color w:val="000000"/>
                <w:szCs w:val="21"/>
              </w:rPr>
            </w:pPr>
            <w:r>
              <w:rPr>
                <w:rFonts w:hint="eastAsia" w:ascii="宋体" w:hAnsi="宋体" w:cs="宋体"/>
                <w:color w:val="000000"/>
                <w:szCs w:val="21"/>
              </w:rPr>
              <w:t>除以上的其它省区</w:t>
            </w:r>
          </w:p>
        </w:tc>
        <w:tc>
          <w:tcPr>
            <w:tcW w:w="402" w:type="pct"/>
            <w:vAlign w:val="center"/>
          </w:tcPr>
          <w:p w14:paraId="7FA959D3">
            <w:pPr>
              <w:adjustRightInd w:val="0"/>
              <w:snapToGrid w:val="0"/>
              <w:jc w:val="center"/>
              <w:rPr>
                <w:rFonts w:ascii="宋体" w:hAnsi="宋体" w:cs="宋体"/>
                <w:color w:val="000000"/>
                <w:szCs w:val="21"/>
              </w:rPr>
            </w:pPr>
            <w:r>
              <w:rPr>
                <w:rFonts w:hint="eastAsia" w:ascii="宋体" w:hAnsi="宋体" w:cs="宋体"/>
                <w:color w:val="000000"/>
                <w:szCs w:val="21"/>
              </w:rPr>
              <w:t>26</w:t>
            </w:r>
          </w:p>
        </w:tc>
        <w:tc>
          <w:tcPr>
            <w:tcW w:w="402" w:type="pct"/>
            <w:vAlign w:val="center"/>
          </w:tcPr>
          <w:p w14:paraId="1EE7E638">
            <w:pPr>
              <w:adjustRightInd w:val="0"/>
              <w:snapToGrid w:val="0"/>
              <w:jc w:val="center"/>
              <w:rPr>
                <w:rFonts w:ascii="宋体" w:hAnsi="宋体" w:cs="宋体"/>
                <w:color w:val="000000"/>
                <w:szCs w:val="21"/>
              </w:rPr>
            </w:pPr>
            <w:r>
              <w:rPr>
                <w:rFonts w:ascii="宋体" w:hAnsi="宋体" w:cs="宋体"/>
                <w:color w:val="000000"/>
                <w:szCs w:val="21"/>
              </w:rPr>
              <w:t>19</w:t>
            </w:r>
          </w:p>
        </w:tc>
        <w:tc>
          <w:tcPr>
            <w:tcW w:w="402" w:type="pct"/>
            <w:vAlign w:val="center"/>
          </w:tcPr>
          <w:p w14:paraId="4177C1D8">
            <w:pPr>
              <w:adjustRightInd w:val="0"/>
              <w:snapToGrid w:val="0"/>
              <w:jc w:val="center"/>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8</w:t>
            </w:r>
          </w:p>
        </w:tc>
        <w:tc>
          <w:tcPr>
            <w:tcW w:w="1609" w:type="pct"/>
            <w:gridSpan w:val="4"/>
            <w:vAlign w:val="center"/>
          </w:tcPr>
          <w:p w14:paraId="2A544A98">
            <w:pPr>
              <w:adjustRightInd w:val="0"/>
              <w:snapToGrid w:val="0"/>
              <w:jc w:val="center"/>
              <w:rPr>
                <w:rFonts w:ascii="宋体" w:hAnsi="宋体" w:cs="宋体"/>
                <w:color w:val="000000"/>
                <w:szCs w:val="21"/>
              </w:rPr>
            </w:pPr>
            <w:r>
              <w:rPr>
                <w:rFonts w:hint="eastAsia" w:ascii="宋体" w:hAnsi="宋体" w:cs="宋体"/>
                <w:color w:val="000000"/>
                <w:szCs w:val="21"/>
              </w:rPr>
              <w:t>1</w:t>
            </w:r>
            <w:r>
              <w:rPr>
                <w:rFonts w:ascii="宋体" w:hAnsi="宋体" w:cs="宋体"/>
                <w:color w:val="000000"/>
                <w:szCs w:val="21"/>
              </w:rPr>
              <w:t>7</w:t>
            </w:r>
          </w:p>
        </w:tc>
      </w:tr>
    </w:tbl>
    <w:p w14:paraId="4530B443">
      <w:pPr>
        <w:pStyle w:val="3"/>
        <w:snapToGrid w:val="0"/>
        <w:ind w:firstLine="0"/>
        <w:rPr>
          <w:rFonts w:hint="default" w:ascii="Times New Roman" w:eastAsia="新宋体"/>
          <w:color w:val="000000" w:themeColor="text1"/>
          <w:sz w:val="21"/>
          <w:szCs w:val="21"/>
        </w:rPr>
      </w:pPr>
    </w:p>
    <w:p w14:paraId="177F05DE">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3.2</w:t>
      </w:r>
      <w:r>
        <w:rPr>
          <w:rFonts w:ascii="Times New Roman" w:eastAsia="新宋体"/>
          <w:color w:val="000000" w:themeColor="text1"/>
          <w:sz w:val="21"/>
          <w:szCs w:val="21"/>
        </w:rPr>
        <w:t>外出、驻点服务费用标准：</w:t>
      </w:r>
    </w:p>
    <w:tbl>
      <w:tblPr>
        <w:tblStyle w:val="12"/>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268"/>
        <w:gridCol w:w="3969"/>
        <w:gridCol w:w="2551"/>
      </w:tblGrid>
      <w:tr w14:paraId="6E81C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5EA916E0">
            <w:pPr>
              <w:adjustRightInd w:val="0"/>
              <w:snapToGrid w:val="0"/>
              <w:jc w:val="center"/>
              <w:rPr>
                <w:rFonts w:eastAsia="新宋体"/>
                <w:szCs w:val="21"/>
              </w:rPr>
            </w:pPr>
            <w:r>
              <w:rPr>
                <w:rFonts w:eastAsia="新宋体"/>
                <w:szCs w:val="21"/>
              </w:rPr>
              <w:t>序号</w:t>
            </w:r>
          </w:p>
        </w:tc>
        <w:tc>
          <w:tcPr>
            <w:tcW w:w="2268" w:type="dxa"/>
            <w:vAlign w:val="center"/>
          </w:tcPr>
          <w:p w14:paraId="17DF73A2">
            <w:pPr>
              <w:adjustRightInd w:val="0"/>
              <w:snapToGrid w:val="0"/>
              <w:jc w:val="center"/>
              <w:rPr>
                <w:rFonts w:eastAsia="新宋体"/>
                <w:szCs w:val="21"/>
              </w:rPr>
            </w:pPr>
            <w:r>
              <w:rPr>
                <w:rFonts w:eastAsia="新宋体"/>
                <w:szCs w:val="21"/>
              </w:rPr>
              <w:t>费用名称</w:t>
            </w:r>
          </w:p>
        </w:tc>
        <w:tc>
          <w:tcPr>
            <w:tcW w:w="3969" w:type="dxa"/>
            <w:vAlign w:val="center"/>
          </w:tcPr>
          <w:p w14:paraId="7263C2AC">
            <w:pPr>
              <w:adjustRightInd w:val="0"/>
              <w:snapToGrid w:val="0"/>
              <w:jc w:val="center"/>
              <w:rPr>
                <w:rFonts w:eastAsia="新宋体"/>
                <w:szCs w:val="21"/>
              </w:rPr>
            </w:pPr>
            <w:r>
              <w:rPr>
                <w:rFonts w:eastAsia="新宋体"/>
                <w:szCs w:val="21"/>
              </w:rPr>
              <w:t>费用标准</w:t>
            </w:r>
          </w:p>
        </w:tc>
        <w:tc>
          <w:tcPr>
            <w:tcW w:w="2551" w:type="dxa"/>
            <w:vAlign w:val="center"/>
          </w:tcPr>
          <w:p w14:paraId="783042DB">
            <w:pPr>
              <w:adjustRightInd w:val="0"/>
              <w:snapToGrid w:val="0"/>
              <w:jc w:val="center"/>
              <w:rPr>
                <w:rFonts w:eastAsia="新宋体"/>
                <w:szCs w:val="21"/>
              </w:rPr>
            </w:pPr>
            <w:r>
              <w:rPr>
                <w:rFonts w:hint="eastAsia" w:eastAsia="新宋体"/>
                <w:szCs w:val="21"/>
              </w:rPr>
              <w:t>备注</w:t>
            </w:r>
          </w:p>
        </w:tc>
      </w:tr>
      <w:tr w14:paraId="73CF4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04C345F8">
            <w:pPr>
              <w:adjustRightInd w:val="0"/>
              <w:snapToGrid w:val="0"/>
              <w:jc w:val="center"/>
              <w:rPr>
                <w:rFonts w:eastAsia="新宋体"/>
                <w:szCs w:val="21"/>
              </w:rPr>
            </w:pPr>
            <w:r>
              <w:rPr>
                <w:rFonts w:eastAsia="新宋体"/>
                <w:szCs w:val="21"/>
              </w:rPr>
              <w:t>1</w:t>
            </w:r>
          </w:p>
        </w:tc>
        <w:tc>
          <w:tcPr>
            <w:tcW w:w="2268" w:type="dxa"/>
            <w:vAlign w:val="center"/>
          </w:tcPr>
          <w:p w14:paraId="525FF4DD">
            <w:pPr>
              <w:adjustRightInd w:val="0"/>
              <w:snapToGrid w:val="0"/>
              <w:jc w:val="left"/>
              <w:rPr>
                <w:rFonts w:eastAsia="新宋体"/>
                <w:szCs w:val="21"/>
              </w:rPr>
            </w:pPr>
            <w:r>
              <w:rPr>
                <w:rFonts w:hint="eastAsia" w:eastAsia="新宋体"/>
                <w:szCs w:val="21"/>
              </w:rPr>
              <w:t>自驾车</w:t>
            </w:r>
            <w:r>
              <w:rPr>
                <w:rFonts w:eastAsia="新宋体"/>
                <w:szCs w:val="21"/>
              </w:rPr>
              <w:t>交通费用</w:t>
            </w:r>
          </w:p>
        </w:tc>
        <w:tc>
          <w:tcPr>
            <w:tcW w:w="3969" w:type="dxa"/>
            <w:vAlign w:val="center"/>
          </w:tcPr>
          <w:p w14:paraId="46419DD9">
            <w:pPr>
              <w:adjustRightInd w:val="0"/>
              <w:snapToGrid w:val="0"/>
              <w:jc w:val="left"/>
              <w:rPr>
                <w:rFonts w:eastAsia="新宋体"/>
                <w:szCs w:val="21"/>
              </w:rPr>
            </w:pPr>
            <w:r>
              <w:rPr>
                <w:rFonts w:eastAsia="新宋体"/>
                <w:szCs w:val="21"/>
              </w:rPr>
              <w:t>往返200公里内3元/公里，超出200公里部分2元/公里（西藏地区无200公里限制，统一3元/公里）</w:t>
            </w:r>
          </w:p>
        </w:tc>
        <w:tc>
          <w:tcPr>
            <w:tcW w:w="2551" w:type="dxa"/>
            <w:vAlign w:val="center"/>
          </w:tcPr>
          <w:p w14:paraId="5E516652">
            <w:pPr>
              <w:adjustRightInd w:val="0"/>
              <w:snapToGrid w:val="0"/>
              <w:jc w:val="left"/>
              <w:rPr>
                <w:rFonts w:eastAsia="新宋体"/>
                <w:szCs w:val="21"/>
              </w:rPr>
            </w:pPr>
          </w:p>
        </w:tc>
      </w:tr>
      <w:tr w14:paraId="3C7B1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71A97CE3">
            <w:pPr>
              <w:adjustRightInd w:val="0"/>
              <w:snapToGrid w:val="0"/>
              <w:jc w:val="center"/>
              <w:rPr>
                <w:rFonts w:eastAsia="新宋体"/>
                <w:szCs w:val="21"/>
              </w:rPr>
            </w:pPr>
            <w:r>
              <w:rPr>
                <w:rFonts w:eastAsia="新宋体"/>
                <w:szCs w:val="21"/>
              </w:rPr>
              <w:t>2</w:t>
            </w:r>
          </w:p>
        </w:tc>
        <w:tc>
          <w:tcPr>
            <w:tcW w:w="2268" w:type="dxa"/>
            <w:vAlign w:val="center"/>
          </w:tcPr>
          <w:p w14:paraId="0E28FE63">
            <w:pPr>
              <w:adjustRightInd w:val="0"/>
              <w:snapToGrid w:val="0"/>
              <w:jc w:val="left"/>
              <w:rPr>
                <w:rFonts w:eastAsia="新宋体"/>
                <w:szCs w:val="21"/>
              </w:rPr>
            </w:pPr>
            <w:r>
              <w:rPr>
                <w:rFonts w:hint="eastAsia" w:eastAsia="新宋体"/>
                <w:szCs w:val="21"/>
              </w:rPr>
              <w:t>自驾车</w:t>
            </w:r>
            <w:r>
              <w:rPr>
                <w:rFonts w:eastAsia="新宋体"/>
                <w:szCs w:val="21"/>
              </w:rPr>
              <w:t>过路过桥费</w:t>
            </w:r>
          </w:p>
        </w:tc>
        <w:tc>
          <w:tcPr>
            <w:tcW w:w="3969" w:type="dxa"/>
            <w:vAlign w:val="center"/>
          </w:tcPr>
          <w:p w14:paraId="55B3E16C">
            <w:pPr>
              <w:adjustRightInd w:val="0"/>
              <w:snapToGrid w:val="0"/>
              <w:jc w:val="left"/>
              <w:rPr>
                <w:rFonts w:eastAsia="新宋体"/>
                <w:szCs w:val="21"/>
              </w:rPr>
            </w:pPr>
            <w:r>
              <w:rPr>
                <w:rFonts w:eastAsia="新宋体"/>
                <w:szCs w:val="21"/>
              </w:rPr>
              <w:t>凭</w:t>
            </w:r>
            <w:r>
              <w:rPr>
                <w:rFonts w:hint="eastAsia" w:eastAsia="新宋体"/>
                <w:szCs w:val="21"/>
              </w:rPr>
              <w:t>实</w:t>
            </w:r>
            <w:r>
              <w:rPr>
                <w:rFonts w:eastAsia="新宋体"/>
                <w:szCs w:val="21"/>
              </w:rPr>
              <w:t>票</w:t>
            </w:r>
            <w:r>
              <w:rPr>
                <w:rFonts w:hint="eastAsia" w:eastAsia="新宋体"/>
                <w:szCs w:val="21"/>
              </w:rPr>
              <w:t>或者电子支付凭证</w:t>
            </w:r>
            <w:r>
              <w:rPr>
                <w:rFonts w:eastAsia="新宋体"/>
                <w:szCs w:val="21"/>
              </w:rPr>
              <w:t>报销</w:t>
            </w:r>
          </w:p>
        </w:tc>
        <w:tc>
          <w:tcPr>
            <w:tcW w:w="2551" w:type="dxa"/>
            <w:vAlign w:val="center"/>
          </w:tcPr>
          <w:p w14:paraId="70DBD4AF">
            <w:pPr>
              <w:adjustRightInd w:val="0"/>
              <w:snapToGrid w:val="0"/>
              <w:jc w:val="left"/>
              <w:rPr>
                <w:rFonts w:eastAsia="新宋体"/>
                <w:szCs w:val="21"/>
              </w:rPr>
            </w:pPr>
          </w:p>
        </w:tc>
      </w:tr>
      <w:tr w14:paraId="15870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5A6EC18B">
            <w:pPr>
              <w:adjustRightInd w:val="0"/>
              <w:snapToGrid w:val="0"/>
              <w:jc w:val="center"/>
              <w:rPr>
                <w:rFonts w:eastAsia="新宋体"/>
                <w:szCs w:val="21"/>
              </w:rPr>
            </w:pPr>
            <w:r>
              <w:rPr>
                <w:rFonts w:hint="eastAsia" w:eastAsia="新宋体"/>
                <w:szCs w:val="21"/>
              </w:rPr>
              <w:t>3</w:t>
            </w:r>
          </w:p>
        </w:tc>
        <w:tc>
          <w:tcPr>
            <w:tcW w:w="2268" w:type="dxa"/>
            <w:vAlign w:val="center"/>
          </w:tcPr>
          <w:p w14:paraId="6603E961">
            <w:pPr>
              <w:adjustRightInd w:val="0"/>
              <w:snapToGrid w:val="0"/>
              <w:jc w:val="left"/>
              <w:rPr>
                <w:rFonts w:eastAsia="新宋体"/>
                <w:szCs w:val="21"/>
              </w:rPr>
            </w:pPr>
            <w:r>
              <w:rPr>
                <w:rFonts w:hint="eastAsia" w:eastAsia="新宋体"/>
                <w:szCs w:val="21"/>
              </w:rPr>
              <w:t>乘车、船、飞机外出服务交通费用</w:t>
            </w:r>
          </w:p>
        </w:tc>
        <w:tc>
          <w:tcPr>
            <w:tcW w:w="3969" w:type="dxa"/>
            <w:vAlign w:val="center"/>
          </w:tcPr>
          <w:p w14:paraId="3F1D200E">
            <w:pPr>
              <w:adjustRightInd w:val="0"/>
              <w:snapToGrid w:val="0"/>
              <w:jc w:val="left"/>
              <w:rPr>
                <w:rFonts w:eastAsia="新宋体"/>
                <w:szCs w:val="21"/>
              </w:rPr>
            </w:pPr>
            <w:r>
              <w:rPr>
                <w:rFonts w:hint="eastAsia" w:eastAsia="新宋体"/>
                <w:szCs w:val="21"/>
              </w:rPr>
              <w:t>车船费凭有效的实名车船票实物照片、实际金额结算；飞机票只结算6折以下经济舱机票</w:t>
            </w:r>
          </w:p>
        </w:tc>
        <w:tc>
          <w:tcPr>
            <w:tcW w:w="2551" w:type="dxa"/>
            <w:vAlign w:val="center"/>
          </w:tcPr>
          <w:p w14:paraId="5B638F8D">
            <w:pPr>
              <w:adjustRightInd w:val="0"/>
              <w:snapToGrid w:val="0"/>
              <w:jc w:val="left"/>
              <w:rPr>
                <w:rFonts w:eastAsia="新宋体"/>
                <w:szCs w:val="21"/>
              </w:rPr>
            </w:pPr>
            <w:r>
              <w:rPr>
                <w:rFonts w:hint="eastAsia" w:eastAsia="新宋体"/>
                <w:szCs w:val="21"/>
              </w:rPr>
              <w:t>动车、高铁限二等座；普通火车限座位或者硬卧；轮船、飞机限经济舱</w:t>
            </w:r>
          </w:p>
        </w:tc>
      </w:tr>
      <w:tr w14:paraId="7CAE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77EE44DF">
            <w:pPr>
              <w:adjustRightInd w:val="0"/>
              <w:snapToGrid w:val="0"/>
              <w:jc w:val="center"/>
              <w:rPr>
                <w:rFonts w:eastAsia="新宋体"/>
                <w:szCs w:val="21"/>
              </w:rPr>
            </w:pPr>
            <w:r>
              <w:rPr>
                <w:rFonts w:eastAsia="新宋体"/>
                <w:szCs w:val="21"/>
              </w:rPr>
              <w:t>4</w:t>
            </w:r>
          </w:p>
        </w:tc>
        <w:tc>
          <w:tcPr>
            <w:tcW w:w="2268" w:type="dxa"/>
            <w:vAlign w:val="center"/>
          </w:tcPr>
          <w:p w14:paraId="0AD5291C">
            <w:pPr>
              <w:adjustRightInd w:val="0"/>
              <w:snapToGrid w:val="0"/>
              <w:jc w:val="left"/>
              <w:rPr>
                <w:rFonts w:eastAsia="新宋体"/>
                <w:szCs w:val="21"/>
              </w:rPr>
            </w:pPr>
            <w:r>
              <w:rPr>
                <w:rFonts w:hint="eastAsia" w:eastAsia="新宋体"/>
                <w:szCs w:val="21"/>
              </w:rPr>
              <w:t>抢修</w:t>
            </w:r>
            <w:r>
              <w:rPr>
                <w:rFonts w:eastAsia="新宋体"/>
                <w:szCs w:val="21"/>
              </w:rPr>
              <w:t>工时费用</w:t>
            </w:r>
          </w:p>
        </w:tc>
        <w:tc>
          <w:tcPr>
            <w:tcW w:w="3969" w:type="dxa"/>
            <w:vAlign w:val="center"/>
          </w:tcPr>
          <w:p w14:paraId="2E96C1A8">
            <w:pPr>
              <w:adjustRightInd w:val="0"/>
              <w:snapToGrid w:val="0"/>
              <w:jc w:val="left"/>
              <w:rPr>
                <w:rFonts w:eastAsia="新宋体"/>
                <w:szCs w:val="21"/>
              </w:rPr>
            </w:pPr>
            <w:r>
              <w:rPr>
                <w:rFonts w:eastAsia="新宋体"/>
                <w:szCs w:val="21"/>
              </w:rPr>
              <w:t>抢修</w:t>
            </w:r>
            <w:r>
              <w:rPr>
                <w:rFonts w:hint="eastAsia" w:eastAsia="新宋体"/>
                <w:szCs w:val="21"/>
              </w:rPr>
              <w:t>救援</w:t>
            </w:r>
            <w:r>
              <w:rPr>
                <w:rFonts w:eastAsia="新宋体"/>
                <w:szCs w:val="21"/>
              </w:rPr>
              <w:t>按正常工时</w:t>
            </w:r>
            <w:r>
              <w:rPr>
                <w:rFonts w:hint="eastAsia" w:eastAsia="新宋体"/>
                <w:szCs w:val="21"/>
              </w:rPr>
              <w:t>上浮</w:t>
            </w:r>
            <w:r>
              <w:rPr>
                <w:rFonts w:eastAsia="新宋体"/>
                <w:szCs w:val="21"/>
              </w:rPr>
              <w:t>50%</w:t>
            </w:r>
            <w:r>
              <w:rPr>
                <w:rFonts w:hint="eastAsia" w:eastAsia="新宋体"/>
                <w:szCs w:val="21"/>
              </w:rPr>
              <w:t>结算</w:t>
            </w:r>
          </w:p>
        </w:tc>
        <w:tc>
          <w:tcPr>
            <w:tcW w:w="2551" w:type="dxa"/>
            <w:vAlign w:val="center"/>
          </w:tcPr>
          <w:p w14:paraId="6890237E">
            <w:pPr>
              <w:adjustRightInd w:val="0"/>
              <w:snapToGrid w:val="0"/>
              <w:jc w:val="left"/>
              <w:rPr>
                <w:rFonts w:eastAsia="新宋体"/>
                <w:szCs w:val="21"/>
              </w:rPr>
            </w:pPr>
            <w:r>
              <w:rPr>
                <w:rFonts w:hint="eastAsia" w:eastAsia="新宋体"/>
                <w:szCs w:val="21"/>
              </w:rPr>
              <w:t>非抢修救援抛锚车，不上浮</w:t>
            </w:r>
          </w:p>
        </w:tc>
      </w:tr>
      <w:tr w14:paraId="6E84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507D4882">
            <w:pPr>
              <w:adjustRightInd w:val="0"/>
              <w:snapToGrid w:val="0"/>
              <w:jc w:val="center"/>
              <w:rPr>
                <w:rFonts w:eastAsia="新宋体"/>
                <w:szCs w:val="21"/>
              </w:rPr>
            </w:pPr>
            <w:r>
              <w:rPr>
                <w:rFonts w:eastAsia="新宋体"/>
                <w:szCs w:val="21"/>
              </w:rPr>
              <w:t>5</w:t>
            </w:r>
          </w:p>
        </w:tc>
        <w:tc>
          <w:tcPr>
            <w:tcW w:w="2268" w:type="dxa"/>
            <w:vAlign w:val="center"/>
          </w:tcPr>
          <w:p w14:paraId="715395F0">
            <w:pPr>
              <w:adjustRightInd w:val="0"/>
              <w:snapToGrid w:val="0"/>
              <w:jc w:val="left"/>
              <w:rPr>
                <w:rFonts w:eastAsia="新宋体"/>
                <w:szCs w:val="21"/>
              </w:rPr>
            </w:pPr>
            <w:r>
              <w:rPr>
                <w:rFonts w:eastAsia="新宋体"/>
                <w:szCs w:val="21"/>
              </w:rPr>
              <w:t>住宿伙食等费用</w:t>
            </w:r>
          </w:p>
        </w:tc>
        <w:tc>
          <w:tcPr>
            <w:tcW w:w="3969" w:type="dxa"/>
            <w:vAlign w:val="center"/>
          </w:tcPr>
          <w:p w14:paraId="2EAC1BEA">
            <w:pPr>
              <w:adjustRightInd w:val="0"/>
              <w:snapToGrid w:val="0"/>
              <w:jc w:val="left"/>
              <w:rPr>
                <w:rFonts w:eastAsia="新宋体"/>
                <w:szCs w:val="21"/>
              </w:rPr>
            </w:pPr>
            <w:r>
              <w:rPr>
                <w:rFonts w:eastAsia="新宋体"/>
                <w:szCs w:val="21"/>
              </w:rPr>
              <w:t>8</w:t>
            </w:r>
            <w:r>
              <w:rPr>
                <w:rFonts w:hint="eastAsia" w:eastAsia="新宋体"/>
                <w:szCs w:val="21"/>
              </w:rPr>
              <w:t>元/人/小时</w:t>
            </w:r>
          </w:p>
        </w:tc>
        <w:tc>
          <w:tcPr>
            <w:tcW w:w="2551" w:type="dxa"/>
            <w:vAlign w:val="center"/>
          </w:tcPr>
          <w:p w14:paraId="1BB7A013">
            <w:pPr>
              <w:adjustRightInd w:val="0"/>
              <w:snapToGrid w:val="0"/>
              <w:jc w:val="left"/>
              <w:rPr>
                <w:rFonts w:eastAsia="新宋体"/>
                <w:szCs w:val="21"/>
              </w:rPr>
            </w:pPr>
          </w:p>
        </w:tc>
      </w:tr>
      <w:tr w14:paraId="2F32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749362DD">
            <w:pPr>
              <w:adjustRightInd w:val="0"/>
              <w:snapToGrid w:val="0"/>
              <w:jc w:val="center"/>
              <w:rPr>
                <w:rFonts w:eastAsia="新宋体"/>
                <w:szCs w:val="21"/>
              </w:rPr>
            </w:pPr>
            <w:r>
              <w:rPr>
                <w:rFonts w:eastAsia="新宋体"/>
                <w:szCs w:val="21"/>
              </w:rPr>
              <w:t>6</w:t>
            </w:r>
          </w:p>
        </w:tc>
        <w:tc>
          <w:tcPr>
            <w:tcW w:w="2268" w:type="dxa"/>
            <w:vAlign w:val="center"/>
          </w:tcPr>
          <w:p w14:paraId="55449F29">
            <w:pPr>
              <w:adjustRightInd w:val="0"/>
              <w:snapToGrid w:val="0"/>
              <w:jc w:val="left"/>
              <w:rPr>
                <w:rFonts w:eastAsia="新宋体"/>
                <w:szCs w:val="21"/>
              </w:rPr>
            </w:pPr>
            <w:r>
              <w:rPr>
                <w:rFonts w:hint="eastAsia" w:eastAsia="新宋体"/>
                <w:szCs w:val="21"/>
              </w:rPr>
              <w:t>夜间抢修路救费用</w:t>
            </w:r>
          </w:p>
        </w:tc>
        <w:tc>
          <w:tcPr>
            <w:tcW w:w="3969" w:type="dxa"/>
            <w:vAlign w:val="center"/>
          </w:tcPr>
          <w:p w14:paraId="449AD0DE">
            <w:pPr>
              <w:adjustRightInd w:val="0"/>
              <w:snapToGrid w:val="0"/>
              <w:jc w:val="left"/>
              <w:rPr>
                <w:rFonts w:eastAsia="新宋体"/>
                <w:szCs w:val="21"/>
              </w:rPr>
            </w:pPr>
            <w:r>
              <w:rPr>
                <w:rFonts w:hint="eastAsia" w:eastAsia="新宋体"/>
                <w:szCs w:val="21"/>
              </w:rPr>
              <w:t>3</w:t>
            </w:r>
            <w:r>
              <w:rPr>
                <w:rFonts w:eastAsia="新宋体"/>
                <w:szCs w:val="21"/>
              </w:rPr>
              <w:t>00</w:t>
            </w:r>
            <w:r>
              <w:rPr>
                <w:rFonts w:hint="eastAsia" w:eastAsia="新宋体"/>
                <w:szCs w:val="21"/>
              </w:rPr>
              <w:t xml:space="preserve">元/次 </w:t>
            </w:r>
          </w:p>
        </w:tc>
        <w:tc>
          <w:tcPr>
            <w:tcW w:w="2551" w:type="dxa"/>
            <w:vAlign w:val="center"/>
          </w:tcPr>
          <w:p w14:paraId="024BC0D9">
            <w:pPr>
              <w:adjustRightInd w:val="0"/>
              <w:snapToGrid w:val="0"/>
              <w:jc w:val="left"/>
              <w:rPr>
                <w:rFonts w:eastAsia="新宋体"/>
                <w:szCs w:val="21"/>
              </w:rPr>
            </w:pPr>
            <w:r>
              <w:rPr>
                <w:rFonts w:hint="eastAsia" w:eastAsia="新宋体"/>
                <w:szCs w:val="21"/>
              </w:rPr>
              <w:t>非抢修救援抛锚车，不得申报</w:t>
            </w:r>
          </w:p>
        </w:tc>
      </w:tr>
      <w:tr w14:paraId="654D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2CB92D3C">
            <w:pPr>
              <w:adjustRightInd w:val="0"/>
              <w:snapToGrid w:val="0"/>
              <w:jc w:val="center"/>
              <w:rPr>
                <w:rFonts w:eastAsia="新宋体"/>
                <w:szCs w:val="21"/>
              </w:rPr>
            </w:pPr>
            <w:r>
              <w:rPr>
                <w:rFonts w:hint="eastAsia" w:eastAsia="新宋体"/>
                <w:szCs w:val="21"/>
              </w:rPr>
              <w:t>7</w:t>
            </w:r>
          </w:p>
        </w:tc>
        <w:tc>
          <w:tcPr>
            <w:tcW w:w="2268" w:type="dxa"/>
            <w:vAlign w:val="center"/>
          </w:tcPr>
          <w:p w14:paraId="570924B9">
            <w:pPr>
              <w:adjustRightInd w:val="0"/>
              <w:snapToGrid w:val="0"/>
              <w:jc w:val="left"/>
              <w:rPr>
                <w:rFonts w:eastAsia="新宋体"/>
                <w:szCs w:val="21"/>
              </w:rPr>
            </w:pPr>
            <w:r>
              <w:rPr>
                <w:rFonts w:hint="eastAsia" w:eastAsia="新宋体"/>
                <w:szCs w:val="21"/>
              </w:rPr>
              <w:t>驻点服务保障费用</w:t>
            </w:r>
          </w:p>
        </w:tc>
        <w:tc>
          <w:tcPr>
            <w:tcW w:w="3969" w:type="dxa"/>
            <w:vAlign w:val="center"/>
          </w:tcPr>
          <w:p w14:paraId="14D2A374">
            <w:pPr>
              <w:adjustRightInd w:val="0"/>
              <w:snapToGrid w:val="0"/>
              <w:jc w:val="left"/>
              <w:rPr>
                <w:rFonts w:eastAsia="新宋体"/>
                <w:szCs w:val="21"/>
              </w:rPr>
            </w:pPr>
            <w:r>
              <w:rPr>
                <w:rFonts w:eastAsia="新宋体"/>
                <w:szCs w:val="21"/>
              </w:rPr>
              <w:t>200</w:t>
            </w:r>
            <w:r>
              <w:rPr>
                <w:rFonts w:hint="eastAsia" w:eastAsia="新宋体"/>
                <w:szCs w:val="21"/>
              </w:rPr>
              <w:t>元/人/天</w:t>
            </w:r>
          </w:p>
        </w:tc>
        <w:tc>
          <w:tcPr>
            <w:tcW w:w="2551" w:type="dxa"/>
            <w:vAlign w:val="center"/>
          </w:tcPr>
          <w:p w14:paraId="6FD54F3C">
            <w:pPr>
              <w:adjustRightInd w:val="0"/>
              <w:snapToGrid w:val="0"/>
              <w:jc w:val="left"/>
              <w:rPr>
                <w:rFonts w:eastAsia="新宋体"/>
                <w:szCs w:val="21"/>
              </w:rPr>
            </w:pPr>
            <w:r>
              <w:rPr>
                <w:rFonts w:hint="eastAsia" w:eastAsia="新宋体"/>
                <w:szCs w:val="21"/>
              </w:rPr>
              <w:t>含食宿，不含工时</w:t>
            </w:r>
          </w:p>
        </w:tc>
      </w:tr>
      <w:tr w14:paraId="019F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Align w:val="center"/>
          </w:tcPr>
          <w:p w14:paraId="7160D52D">
            <w:pPr>
              <w:adjustRightInd w:val="0"/>
              <w:snapToGrid w:val="0"/>
              <w:jc w:val="center"/>
              <w:rPr>
                <w:rFonts w:eastAsia="新宋体"/>
                <w:szCs w:val="21"/>
              </w:rPr>
            </w:pPr>
            <w:r>
              <w:rPr>
                <w:rFonts w:hint="eastAsia" w:eastAsia="新宋体"/>
                <w:szCs w:val="21"/>
              </w:rPr>
              <w:t>说明</w:t>
            </w:r>
          </w:p>
        </w:tc>
        <w:tc>
          <w:tcPr>
            <w:tcW w:w="8788" w:type="dxa"/>
            <w:gridSpan w:val="3"/>
            <w:vAlign w:val="center"/>
          </w:tcPr>
          <w:p w14:paraId="2ADF01A8">
            <w:pPr>
              <w:adjustRightInd w:val="0"/>
              <w:snapToGrid w:val="0"/>
              <w:rPr>
                <w:rFonts w:eastAsia="新宋体"/>
                <w:szCs w:val="21"/>
              </w:rPr>
            </w:pPr>
            <w:r>
              <w:rPr>
                <w:rFonts w:hint="eastAsia" w:eastAsia="新宋体"/>
                <w:szCs w:val="21"/>
              </w:rPr>
              <w:t>1、外出服务须得到外服批准或者系统派工。</w:t>
            </w:r>
          </w:p>
          <w:p w14:paraId="484F497F">
            <w:pPr>
              <w:adjustRightInd w:val="0"/>
              <w:snapToGrid w:val="0"/>
              <w:rPr>
                <w:rFonts w:eastAsia="新宋体"/>
                <w:szCs w:val="21"/>
              </w:rPr>
            </w:pPr>
            <w:r>
              <w:rPr>
                <w:rFonts w:hint="eastAsia" w:eastAsia="新宋体"/>
                <w:szCs w:val="21"/>
              </w:rPr>
              <w:t>2、夜间抢修路救时间段定义为2</w:t>
            </w:r>
            <w:r>
              <w:rPr>
                <w:rFonts w:eastAsia="新宋体"/>
                <w:szCs w:val="21"/>
              </w:rPr>
              <w:t>0</w:t>
            </w:r>
            <w:r>
              <w:rPr>
                <w:rFonts w:hint="eastAsia" w:eastAsia="新宋体"/>
                <w:szCs w:val="21"/>
              </w:rPr>
              <w:t>点至次日6点；新疆、西藏因时差原因，夜间抢修路救时间段定义在2</w:t>
            </w:r>
            <w:r>
              <w:rPr>
                <w:rFonts w:eastAsia="新宋体"/>
                <w:szCs w:val="21"/>
              </w:rPr>
              <w:t>2</w:t>
            </w:r>
            <w:r>
              <w:rPr>
                <w:rFonts w:hint="eastAsia" w:eastAsia="新宋体"/>
                <w:szCs w:val="21"/>
              </w:rPr>
              <w:t>点至次日</w:t>
            </w:r>
            <w:r>
              <w:rPr>
                <w:rFonts w:eastAsia="新宋体"/>
                <w:szCs w:val="21"/>
              </w:rPr>
              <w:t>8</w:t>
            </w:r>
            <w:r>
              <w:rPr>
                <w:rFonts w:hint="eastAsia" w:eastAsia="新宋体"/>
                <w:szCs w:val="21"/>
              </w:rPr>
              <w:t>点。</w:t>
            </w:r>
          </w:p>
          <w:p w14:paraId="24C36135">
            <w:pPr>
              <w:adjustRightInd w:val="0"/>
              <w:snapToGrid w:val="0"/>
              <w:rPr>
                <w:rFonts w:eastAsia="新宋体"/>
                <w:szCs w:val="21"/>
              </w:rPr>
            </w:pPr>
            <w:r>
              <w:rPr>
                <w:rFonts w:eastAsia="新宋体"/>
                <w:szCs w:val="21"/>
              </w:rPr>
              <w:t>3</w:t>
            </w:r>
            <w:r>
              <w:rPr>
                <w:rFonts w:hint="eastAsia" w:eastAsia="新宋体"/>
                <w:szCs w:val="21"/>
              </w:rPr>
              <w:t>、</w:t>
            </w:r>
            <w:r>
              <w:rPr>
                <w:rFonts w:eastAsia="新宋体"/>
                <w:szCs w:val="21"/>
              </w:rPr>
              <w:t>适逢国家法定节假日：外出路救工时费用按照节假日费用标准执行，</w:t>
            </w:r>
            <w:r>
              <w:rPr>
                <w:rFonts w:hint="eastAsia" w:eastAsia="新宋体"/>
                <w:szCs w:val="21"/>
              </w:rPr>
              <w:t>取最高费用标准，不重复计算</w:t>
            </w:r>
            <w:r>
              <w:rPr>
                <w:rFonts w:eastAsia="新宋体"/>
                <w:szCs w:val="21"/>
              </w:rPr>
              <w:t>。</w:t>
            </w:r>
          </w:p>
          <w:p w14:paraId="76750072">
            <w:pPr>
              <w:adjustRightInd w:val="0"/>
              <w:snapToGrid w:val="0"/>
              <w:rPr>
                <w:rFonts w:eastAsia="新宋体"/>
                <w:szCs w:val="21"/>
              </w:rPr>
            </w:pPr>
            <w:r>
              <w:rPr>
                <w:rFonts w:eastAsia="新宋体"/>
                <w:szCs w:val="21"/>
              </w:rPr>
              <w:t>4</w:t>
            </w:r>
            <w:r>
              <w:rPr>
                <w:rFonts w:hint="eastAsia" w:eastAsia="新宋体"/>
                <w:szCs w:val="21"/>
              </w:rPr>
              <w:t>、驻点服务需外服提前写服务需求单申请，驻点期间发生维修项目，正常报单结算。</w:t>
            </w:r>
          </w:p>
        </w:tc>
      </w:tr>
    </w:tbl>
    <w:p w14:paraId="5D593A2E">
      <w:pPr>
        <w:pStyle w:val="3"/>
        <w:snapToGrid w:val="0"/>
        <w:ind w:firstLine="0"/>
        <w:rPr>
          <w:rFonts w:hint="default" w:ascii="Times New Roman" w:eastAsia="新宋体"/>
          <w:color w:val="000000" w:themeColor="text1"/>
          <w:sz w:val="21"/>
          <w:szCs w:val="21"/>
        </w:rPr>
      </w:pPr>
    </w:p>
    <w:p w14:paraId="7F615A01">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3.3</w:t>
      </w:r>
      <w:r>
        <w:rPr>
          <w:rFonts w:ascii="Times New Roman" w:eastAsia="新宋体"/>
          <w:color w:val="000000" w:themeColor="text1"/>
          <w:sz w:val="21"/>
          <w:szCs w:val="21"/>
        </w:rPr>
        <w:t>高温、严寒地区冬季工时补助：</w:t>
      </w:r>
    </w:p>
    <w:tbl>
      <w:tblPr>
        <w:tblStyle w:val="12"/>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410"/>
        <w:gridCol w:w="3260"/>
        <w:gridCol w:w="3118"/>
      </w:tblGrid>
      <w:tr w14:paraId="79EC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851" w:type="dxa"/>
            <w:vAlign w:val="center"/>
          </w:tcPr>
          <w:p w14:paraId="1D457FE1">
            <w:pPr>
              <w:jc w:val="center"/>
              <w:rPr>
                <w:rFonts w:eastAsia="新宋体"/>
                <w:szCs w:val="21"/>
              </w:rPr>
            </w:pPr>
            <w:r>
              <w:rPr>
                <w:rFonts w:eastAsia="新宋体"/>
                <w:szCs w:val="21"/>
              </w:rPr>
              <w:t>序号</w:t>
            </w:r>
          </w:p>
        </w:tc>
        <w:tc>
          <w:tcPr>
            <w:tcW w:w="2410" w:type="dxa"/>
            <w:vAlign w:val="center"/>
          </w:tcPr>
          <w:p w14:paraId="0E47A957">
            <w:pPr>
              <w:jc w:val="center"/>
              <w:rPr>
                <w:rFonts w:eastAsia="新宋体"/>
                <w:szCs w:val="21"/>
              </w:rPr>
            </w:pPr>
            <w:r>
              <w:rPr>
                <w:rFonts w:eastAsia="新宋体"/>
                <w:szCs w:val="21"/>
              </w:rPr>
              <w:t>费用名称</w:t>
            </w:r>
          </w:p>
        </w:tc>
        <w:tc>
          <w:tcPr>
            <w:tcW w:w="3260" w:type="dxa"/>
            <w:vAlign w:val="center"/>
          </w:tcPr>
          <w:p w14:paraId="6E3836D5">
            <w:pPr>
              <w:jc w:val="center"/>
              <w:rPr>
                <w:rFonts w:eastAsia="新宋体"/>
                <w:szCs w:val="21"/>
              </w:rPr>
            </w:pPr>
            <w:r>
              <w:rPr>
                <w:rFonts w:eastAsia="新宋体"/>
                <w:szCs w:val="21"/>
              </w:rPr>
              <w:t>费用标准</w:t>
            </w:r>
          </w:p>
        </w:tc>
        <w:tc>
          <w:tcPr>
            <w:tcW w:w="3118" w:type="dxa"/>
            <w:vAlign w:val="center"/>
          </w:tcPr>
          <w:p w14:paraId="7D9C8D79">
            <w:pPr>
              <w:jc w:val="center"/>
              <w:rPr>
                <w:rFonts w:eastAsia="新宋体"/>
                <w:szCs w:val="21"/>
              </w:rPr>
            </w:pPr>
            <w:r>
              <w:rPr>
                <w:rFonts w:eastAsia="新宋体"/>
                <w:szCs w:val="21"/>
              </w:rPr>
              <w:t>适用地区</w:t>
            </w:r>
          </w:p>
        </w:tc>
      </w:tr>
      <w:tr w14:paraId="171F6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851" w:type="dxa"/>
            <w:vAlign w:val="center"/>
          </w:tcPr>
          <w:p w14:paraId="7CCAF61E">
            <w:pPr>
              <w:jc w:val="center"/>
              <w:rPr>
                <w:rFonts w:eastAsia="新宋体"/>
                <w:szCs w:val="21"/>
              </w:rPr>
            </w:pPr>
            <w:r>
              <w:rPr>
                <w:rFonts w:eastAsia="新宋体"/>
                <w:szCs w:val="21"/>
              </w:rPr>
              <w:t>1</w:t>
            </w:r>
          </w:p>
        </w:tc>
        <w:tc>
          <w:tcPr>
            <w:tcW w:w="2410" w:type="dxa"/>
            <w:vAlign w:val="center"/>
          </w:tcPr>
          <w:p w14:paraId="1150E7E5">
            <w:pPr>
              <w:rPr>
                <w:rFonts w:eastAsia="新宋体"/>
                <w:szCs w:val="21"/>
              </w:rPr>
            </w:pPr>
            <w:r>
              <w:rPr>
                <w:rFonts w:eastAsia="新宋体"/>
                <w:szCs w:val="21"/>
              </w:rPr>
              <w:t>高寒地区冬季</w:t>
            </w:r>
            <w:r>
              <w:rPr>
                <w:rFonts w:hint="eastAsia" w:eastAsia="新宋体"/>
                <w:szCs w:val="21"/>
              </w:rPr>
              <w:t>工时</w:t>
            </w:r>
          </w:p>
        </w:tc>
        <w:tc>
          <w:tcPr>
            <w:tcW w:w="3260" w:type="dxa"/>
            <w:vAlign w:val="center"/>
          </w:tcPr>
          <w:p w14:paraId="67DCED91">
            <w:pPr>
              <w:rPr>
                <w:rFonts w:eastAsia="新宋体"/>
                <w:szCs w:val="21"/>
              </w:rPr>
            </w:pPr>
            <w:r>
              <w:rPr>
                <w:rFonts w:eastAsia="新宋体"/>
                <w:szCs w:val="21"/>
              </w:rPr>
              <w:t>每年的11</w:t>
            </w:r>
            <w:r>
              <w:rPr>
                <w:rFonts w:hint="eastAsia" w:eastAsia="新宋体"/>
                <w:szCs w:val="21"/>
              </w:rPr>
              <w:t>月至次年3月，共5</w:t>
            </w:r>
            <w:r>
              <w:rPr>
                <w:rFonts w:eastAsia="新宋体"/>
                <w:szCs w:val="21"/>
              </w:rPr>
              <w:t>个月，每个工时调高4元</w:t>
            </w:r>
          </w:p>
        </w:tc>
        <w:tc>
          <w:tcPr>
            <w:tcW w:w="3118" w:type="dxa"/>
            <w:vAlign w:val="center"/>
          </w:tcPr>
          <w:p w14:paraId="2192C86B">
            <w:pPr>
              <w:rPr>
                <w:rFonts w:eastAsia="新宋体"/>
                <w:szCs w:val="21"/>
              </w:rPr>
            </w:pPr>
            <w:r>
              <w:rPr>
                <w:rFonts w:hint="eastAsia" w:eastAsia="新宋体"/>
                <w:szCs w:val="21"/>
              </w:rPr>
              <w:t>内蒙古、西藏、</w:t>
            </w:r>
            <w:r>
              <w:rPr>
                <w:rFonts w:eastAsia="新宋体"/>
                <w:szCs w:val="21"/>
              </w:rPr>
              <w:t>东北</w:t>
            </w:r>
            <w:r>
              <w:rPr>
                <w:rFonts w:hint="eastAsia" w:eastAsia="新宋体"/>
                <w:szCs w:val="21"/>
              </w:rPr>
              <w:t>三省（黑龙江、吉林、辽宁）</w:t>
            </w:r>
            <w:r>
              <w:rPr>
                <w:rFonts w:eastAsia="新宋体"/>
                <w:szCs w:val="21"/>
              </w:rPr>
              <w:t>、西北</w:t>
            </w:r>
            <w:r>
              <w:rPr>
                <w:rFonts w:hint="eastAsia" w:eastAsia="新宋体"/>
                <w:szCs w:val="21"/>
              </w:rPr>
              <w:t>四</w:t>
            </w:r>
            <w:r>
              <w:rPr>
                <w:rFonts w:eastAsia="新宋体"/>
                <w:szCs w:val="21"/>
              </w:rPr>
              <w:t>省（新疆、青海、宁</w:t>
            </w:r>
            <w:r>
              <w:rPr>
                <w:rFonts w:hint="eastAsia" w:eastAsia="新宋体"/>
                <w:szCs w:val="21"/>
              </w:rPr>
              <w:t>夏</w:t>
            </w:r>
            <w:r>
              <w:rPr>
                <w:rFonts w:eastAsia="新宋体"/>
                <w:szCs w:val="21"/>
              </w:rPr>
              <w:t>、</w:t>
            </w:r>
            <w:r>
              <w:rPr>
                <w:rFonts w:hint="eastAsia" w:eastAsia="新宋体"/>
                <w:szCs w:val="21"/>
              </w:rPr>
              <w:t>甘肃</w:t>
            </w:r>
            <w:r>
              <w:rPr>
                <w:rFonts w:eastAsia="新宋体"/>
                <w:szCs w:val="21"/>
              </w:rPr>
              <w:t>）</w:t>
            </w:r>
          </w:p>
        </w:tc>
      </w:tr>
      <w:tr w14:paraId="0FCE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851" w:type="dxa"/>
            <w:vAlign w:val="center"/>
          </w:tcPr>
          <w:p w14:paraId="2A53BC44">
            <w:pPr>
              <w:jc w:val="center"/>
              <w:rPr>
                <w:rFonts w:eastAsia="新宋体"/>
                <w:szCs w:val="21"/>
              </w:rPr>
            </w:pPr>
            <w:r>
              <w:rPr>
                <w:rFonts w:eastAsia="新宋体"/>
                <w:szCs w:val="21"/>
              </w:rPr>
              <w:t>2</w:t>
            </w:r>
          </w:p>
        </w:tc>
        <w:tc>
          <w:tcPr>
            <w:tcW w:w="2410" w:type="dxa"/>
            <w:vAlign w:val="center"/>
          </w:tcPr>
          <w:p w14:paraId="696A37F8">
            <w:pPr>
              <w:rPr>
                <w:rFonts w:eastAsia="新宋体"/>
                <w:szCs w:val="21"/>
              </w:rPr>
            </w:pPr>
            <w:r>
              <w:rPr>
                <w:rFonts w:eastAsia="新宋体"/>
                <w:szCs w:val="21"/>
              </w:rPr>
              <w:t>寒冷地区冬季</w:t>
            </w:r>
            <w:r>
              <w:rPr>
                <w:rFonts w:hint="eastAsia" w:eastAsia="新宋体"/>
                <w:szCs w:val="21"/>
              </w:rPr>
              <w:t>工时</w:t>
            </w:r>
          </w:p>
        </w:tc>
        <w:tc>
          <w:tcPr>
            <w:tcW w:w="3260" w:type="dxa"/>
            <w:vAlign w:val="center"/>
          </w:tcPr>
          <w:p w14:paraId="2AF218EF">
            <w:pPr>
              <w:rPr>
                <w:rFonts w:eastAsia="新宋体"/>
                <w:szCs w:val="21"/>
              </w:rPr>
            </w:pPr>
            <w:r>
              <w:rPr>
                <w:rFonts w:eastAsia="新宋体"/>
                <w:szCs w:val="21"/>
              </w:rPr>
              <w:t>每年的11</w:t>
            </w:r>
            <w:r>
              <w:rPr>
                <w:rFonts w:hint="eastAsia" w:eastAsia="新宋体"/>
                <w:szCs w:val="21"/>
              </w:rPr>
              <w:t>月至次年3月，共5</w:t>
            </w:r>
            <w:r>
              <w:rPr>
                <w:rFonts w:eastAsia="新宋体"/>
                <w:szCs w:val="21"/>
              </w:rPr>
              <w:t>个月，每个工时调高2元</w:t>
            </w:r>
          </w:p>
        </w:tc>
        <w:tc>
          <w:tcPr>
            <w:tcW w:w="3118" w:type="dxa"/>
            <w:vAlign w:val="center"/>
          </w:tcPr>
          <w:p w14:paraId="24B35B9F">
            <w:pPr>
              <w:rPr>
                <w:rFonts w:eastAsia="新宋体"/>
                <w:szCs w:val="21"/>
              </w:rPr>
            </w:pPr>
            <w:r>
              <w:rPr>
                <w:rFonts w:eastAsia="新宋体"/>
                <w:szCs w:val="21"/>
              </w:rPr>
              <w:t>偏北五省（</w:t>
            </w:r>
            <w:r>
              <w:rPr>
                <w:rFonts w:hint="eastAsia" w:eastAsia="新宋体"/>
                <w:szCs w:val="21"/>
              </w:rPr>
              <w:t>北京、天津、河北、山西、陕西</w:t>
            </w:r>
            <w:r>
              <w:rPr>
                <w:rFonts w:eastAsia="新宋体"/>
                <w:szCs w:val="21"/>
              </w:rPr>
              <w:t>）</w:t>
            </w:r>
          </w:p>
        </w:tc>
      </w:tr>
      <w:tr w14:paraId="0A35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851" w:type="dxa"/>
            <w:vAlign w:val="center"/>
          </w:tcPr>
          <w:p w14:paraId="077FA4A2">
            <w:pPr>
              <w:jc w:val="center"/>
              <w:rPr>
                <w:rFonts w:eastAsia="新宋体"/>
                <w:szCs w:val="21"/>
              </w:rPr>
            </w:pPr>
            <w:r>
              <w:rPr>
                <w:rFonts w:hint="eastAsia" w:eastAsia="新宋体"/>
                <w:szCs w:val="21"/>
              </w:rPr>
              <w:t>3</w:t>
            </w:r>
          </w:p>
        </w:tc>
        <w:tc>
          <w:tcPr>
            <w:tcW w:w="2410" w:type="dxa"/>
            <w:vAlign w:val="center"/>
          </w:tcPr>
          <w:p w14:paraId="46DB85DC">
            <w:pPr>
              <w:rPr>
                <w:rFonts w:eastAsia="新宋体"/>
                <w:szCs w:val="21"/>
              </w:rPr>
            </w:pPr>
            <w:r>
              <w:rPr>
                <w:rFonts w:hint="eastAsia" w:eastAsia="新宋体"/>
                <w:szCs w:val="21"/>
              </w:rPr>
              <w:t>高温天气工时补助</w:t>
            </w:r>
          </w:p>
        </w:tc>
        <w:tc>
          <w:tcPr>
            <w:tcW w:w="3260" w:type="dxa"/>
            <w:vAlign w:val="center"/>
          </w:tcPr>
          <w:p w14:paraId="6EAB2CCC">
            <w:pPr>
              <w:rPr>
                <w:rFonts w:eastAsia="新宋体"/>
                <w:szCs w:val="21"/>
              </w:rPr>
            </w:pPr>
            <w:r>
              <w:rPr>
                <w:rFonts w:hint="eastAsia" w:eastAsia="新宋体"/>
                <w:szCs w:val="21"/>
              </w:rPr>
              <w:t>当日气温高于38度时，工时上浮20%（工时系数1.2）</w:t>
            </w:r>
          </w:p>
        </w:tc>
        <w:tc>
          <w:tcPr>
            <w:tcW w:w="3118" w:type="dxa"/>
            <w:vAlign w:val="center"/>
          </w:tcPr>
          <w:p w14:paraId="37E2932F">
            <w:pPr>
              <w:rPr>
                <w:rFonts w:eastAsia="新宋体"/>
                <w:szCs w:val="21"/>
              </w:rPr>
            </w:pPr>
            <w:r>
              <w:rPr>
                <w:rFonts w:hint="eastAsia" w:eastAsia="新宋体"/>
                <w:szCs w:val="21"/>
              </w:rPr>
              <w:t>报单时附件中上传当日最高气温截图做为依据，不限制区域</w:t>
            </w:r>
          </w:p>
        </w:tc>
      </w:tr>
    </w:tbl>
    <w:p w14:paraId="58805B1F">
      <w:pPr>
        <w:pStyle w:val="3"/>
        <w:snapToGrid w:val="0"/>
        <w:ind w:firstLine="0"/>
        <w:rPr>
          <w:rFonts w:hint="default" w:ascii="Times New Roman" w:eastAsia="新宋体"/>
          <w:color w:val="000000" w:themeColor="text1"/>
          <w:sz w:val="21"/>
          <w:szCs w:val="21"/>
          <w:lang w:val="en-GB"/>
        </w:rPr>
      </w:pPr>
    </w:p>
    <w:p w14:paraId="70F3873B">
      <w:pPr>
        <w:pStyle w:val="3"/>
        <w:snapToGrid w:val="0"/>
        <w:ind w:firstLine="0"/>
        <w:rPr>
          <w:rFonts w:hint="default" w:ascii="Times New Roman" w:eastAsia="新宋体"/>
          <w:color w:val="000000" w:themeColor="text1"/>
          <w:sz w:val="21"/>
          <w:szCs w:val="21"/>
          <w:lang w:val="en-GB"/>
        </w:rPr>
      </w:pPr>
      <w:r>
        <w:rPr>
          <w:rFonts w:ascii="Times New Roman" w:eastAsia="新宋体"/>
          <w:color w:val="000000" w:themeColor="text1"/>
          <w:sz w:val="21"/>
          <w:szCs w:val="21"/>
          <w:lang w:val="en-GB"/>
        </w:rPr>
        <w:t>5.</w:t>
      </w:r>
      <w:r>
        <w:rPr>
          <w:rFonts w:hint="default" w:ascii="Times New Roman" w:eastAsia="新宋体"/>
          <w:color w:val="000000" w:themeColor="text1"/>
          <w:sz w:val="21"/>
          <w:szCs w:val="21"/>
          <w:lang w:val="en-GB"/>
        </w:rPr>
        <w:t>3.4</w:t>
      </w:r>
      <w:r>
        <w:rPr>
          <w:rFonts w:ascii="Times New Roman" w:eastAsia="新宋体"/>
          <w:color w:val="000000" w:themeColor="text1"/>
          <w:sz w:val="21"/>
          <w:szCs w:val="21"/>
          <w:lang w:val="en-GB"/>
        </w:rPr>
        <w:t>国家法定节假日工时补助标准</w:t>
      </w:r>
    </w:p>
    <w:tbl>
      <w:tblPr>
        <w:tblStyle w:val="12"/>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410"/>
        <w:gridCol w:w="3260"/>
        <w:gridCol w:w="698"/>
        <w:gridCol w:w="2420"/>
      </w:tblGrid>
      <w:tr w14:paraId="3991F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851" w:type="dxa"/>
            <w:vAlign w:val="center"/>
          </w:tcPr>
          <w:p w14:paraId="2B1A3B1E">
            <w:pPr>
              <w:jc w:val="center"/>
              <w:rPr>
                <w:rFonts w:eastAsia="新宋体"/>
                <w:color w:val="000000" w:themeColor="text1"/>
                <w:szCs w:val="21"/>
                <w:lang w:val="en-GB"/>
              </w:rPr>
            </w:pPr>
            <w:r>
              <w:rPr>
                <w:rFonts w:eastAsia="新宋体"/>
                <w:color w:val="000000" w:themeColor="text1"/>
                <w:szCs w:val="21"/>
                <w:lang w:val="en-GB"/>
              </w:rPr>
              <w:t>序号</w:t>
            </w:r>
          </w:p>
        </w:tc>
        <w:tc>
          <w:tcPr>
            <w:tcW w:w="2410" w:type="dxa"/>
            <w:vAlign w:val="center"/>
          </w:tcPr>
          <w:p w14:paraId="285AC681">
            <w:pPr>
              <w:jc w:val="center"/>
              <w:rPr>
                <w:rFonts w:eastAsia="新宋体"/>
                <w:color w:val="000000" w:themeColor="text1"/>
                <w:szCs w:val="21"/>
                <w:lang w:val="en-GB"/>
              </w:rPr>
            </w:pPr>
            <w:r>
              <w:rPr>
                <w:rFonts w:eastAsia="新宋体"/>
                <w:color w:val="000000" w:themeColor="text1"/>
                <w:szCs w:val="21"/>
                <w:lang w:val="en-GB"/>
              </w:rPr>
              <w:t>法定节假</w:t>
            </w:r>
            <w:r>
              <w:rPr>
                <w:rFonts w:hint="eastAsia" w:eastAsia="新宋体"/>
                <w:color w:val="000000" w:themeColor="text1"/>
                <w:szCs w:val="21"/>
                <w:lang w:val="en-GB"/>
              </w:rPr>
              <w:t>日</w:t>
            </w:r>
          </w:p>
        </w:tc>
        <w:tc>
          <w:tcPr>
            <w:tcW w:w="3260" w:type="dxa"/>
            <w:vAlign w:val="center"/>
          </w:tcPr>
          <w:p w14:paraId="3D7E0177">
            <w:pPr>
              <w:jc w:val="center"/>
              <w:rPr>
                <w:rFonts w:eastAsia="新宋体"/>
                <w:color w:val="000000" w:themeColor="text1"/>
                <w:szCs w:val="21"/>
                <w:lang w:val="en-GB"/>
              </w:rPr>
            </w:pPr>
            <w:r>
              <w:rPr>
                <w:rFonts w:eastAsia="新宋体"/>
                <w:color w:val="000000" w:themeColor="text1"/>
                <w:szCs w:val="21"/>
                <w:lang w:val="en-GB"/>
              </w:rPr>
              <w:t>适用日期</w:t>
            </w:r>
          </w:p>
        </w:tc>
        <w:tc>
          <w:tcPr>
            <w:tcW w:w="698" w:type="dxa"/>
            <w:vAlign w:val="center"/>
          </w:tcPr>
          <w:p w14:paraId="260B1613">
            <w:pPr>
              <w:jc w:val="center"/>
              <w:rPr>
                <w:rFonts w:eastAsia="新宋体"/>
                <w:color w:val="000000" w:themeColor="text1"/>
                <w:szCs w:val="21"/>
                <w:lang w:val="en-GB"/>
              </w:rPr>
            </w:pPr>
            <w:r>
              <w:rPr>
                <w:rFonts w:eastAsia="新宋体"/>
                <w:color w:val="000000" w:themeColor="text1"/>
                <w:szCs w:val="21"/>
                <w:lang w:val="en-GB"/>
              </w:rPr>
              <w:t>天数</w:t>
            </w:r>
          </w:p>
        </w:tc>
        <w:tc>
          <w:tcPr>
            <w:tcW w:w="2420" w:type="dxa"/>
            <w:vAlign w:val="center"/>
          </w:tcPr>
          <w:p w14:paraId="125A9EFD">
            <w:pPr>
              <w:jc w:val="center"/>
              <w:rPr>
                <w:rFonts w:eastAsia="新宋体"/>
                <w:color w:val="000000" w:themeColor="text1"/>
                <w:szCs w:val="21"/>
                <w:lang w:val="en-GB"/>
              </w:rPr>
            </w:pPr>
            <w:r>
              <w:rPr>
                <w:rFonts w:eastAsia="新宋体"/>
                <w:color w:val="000000" w:themeColor="text1"/>
                <w:szCs w:val="21"/>
                <w:lang w:val="en-GB"/>
              </w:rPr>
              <w:t>标准</w:t>
            </w:r>
          </w:p>
        </w:tc>
      </w:tr>
      <w:tr w14:paraId="27683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851" w:type="dxa"/>
            <w:vAlign w:val="center"/>
          </w:tcPr>
          <w:p w14:paraId="30178FF8">
            <w:pPr>
              <w:adjustRightInd w:val="0"/>
              <w:snapToGrid w:val="0"/>
              <w:jc w:val="center"/>
              <w:rPr>
                <w:rFonts w:eastAsia="新宋体"/>
                <w:color w:val="000000" w:themeColor="text1"/>
                <w:szCs w:val="21"/>
                <w:lang w:val="en-GB"/>
              </w:rPr>
            </w:pPr>
            <w:r>
              <w:rPr>
                <w:rFonts w:eastAsia="新宋体"/>
                <w:color w:val="000000" w:themeColor="text1"/>
                <w:szCs w:val="21"/>
                <w:lang w:val="en-GB"/>
              </w:rPr>
              <w:t>1</w:t>
            </w:r>
          </w:p>
        </w:tc>
        <w:tc>
          <w:tcPr>
            <w:tcW w:w="2410" w:type="dxa"/>
            <w:vAlign w:val="center"/>
          </w:tcPr>
          <w:p w14:paraId="12FADF42">
            <w:pPr>
              <w:jc w:val="center"/>
              <w:rPr>
                <w:rFonts w:eastAsia="新宋体"/>
                <w:color w:val="000000" w:themeColor="text1"/>
                <w:szCs w:val="21"/>
                <w:lang w:val="en-GB"/>
              </w:rPr>
            </w:pPr>
            <w:r>
              <w:rPr>
                <w:rFonts w:eastAsia="新宋体"/>
                <w:color w:val="000000" w:themeColor="text1"/>
                <w:szCs w:val="21"/>
                <w:lang w:val="en-GB"/>
              </w:rPr>
              <w:t>元旦</w:t>
            </w:r>
          </w:p>
        </w:tc>
        <w:tc>
          <w:tcPr>
            <w:tcW w:w="3260" w:type="dxa"/>
            <w:vAlign w:val="center"/>
          </w:tcPr>
          <w:p w14:paraId="3D53A95D">
            <w:pPr>
              <w:rPr>
                <w:rFonts w:eastAsia="新宋体"/>
                <w:color w:val="000000" w:themeColor="text1"/>
                <w:szCs w:val="21"/>
                <w:lang w:val="en-GB"/>
              </w:rPr>
            </w:pPr>
            <w:r>
              <w:rPr>
                <w:rFonts w:hint="eastAsia" w:eastAsia="新宋体"/>
                <w:color w:val="000000" w:themeColor="text1"/>
                <w:szCs w:val="21"/>
                <w:lang w:val="en-GB"/>
              </w:rPr>
              <w:t>1</w:t>
            </w:r>
            <w:r>
              <w:rPr>
                <w:rFonts w:eastAsia="新宋体"/>
                <w:color w:val="000000" w:themeColor="text1"/>
                <w:szCs w:val="21"/>
                <w:lang w:val="en-GB"/>
              </w:rPr>
              <w:t>月</w:t>
            </w:r>
            <w:r>
              <w:rPr>
                <w:rFonts w:hint="eastAsia" w:eastAsia="新宋体"/>
                <w:color w:val="000000" w:themeColor="text1"/>
                <w:szCs w:val="21"/>
                <w:lang w:val="en-GB"/>
              </w:rPr>
              <w:t>1</w:t>
            </w:r>
            <w:r>
              <w:rPr>
                <w:rFonts w:eastAsia="新宋体"/>
                <w:color w:val="000000" w:themeColor="text1"/>
                <w:szCs w:val="21"/>
                <w:lang w:val="en-GB"/>
              </w:rPr>
              <w:t>日</w:t>
            </w:r>
          </w:p>
        </w:tc>
        <w:tc>
          <w:tcPr>
            <w:tcW w:w="698" w:type="dxa"/>
            <w:vAlign w:val="center"/>
          </w:tcPr>
          <w:p w14:paraId="4D952C13">
            <w:pPr>
              <w:jc w:val="center"/>
              <w:rPr>
                <w:rFonts w:eastAsia="新宋体"/>
                <w:color w:val="000000" w:themeColor="text1"/>
                <w:szCs w:val="21"/>
                <w:lang w:val="en-GB"/>
              </w:rPr>
            </w:pPr>
            <w:r>
              <w:rPr>
                <w:rFonts w:eastAsia="新宋体"/>
                <w:color w:val="000000" w:themeColor="text1"/>
                <w:szCs w:val="21"/>
                <w:lang w:val="en-GB"/>
              </w:rPr>
              <w:t>1</w:t>
            </w:r>
          </w:p>
        </w:tc>
        <w:tc>
          <w:tcPr>
            <w:tcW w:w="2420" w:type="dxa"/>
            <w:vMerge w:val="restart"/>
            <w:vAlign w:val="center"/>
          </w:tcPr>
          <w:p w14:paraId="6EC8C631">
            <w:pPr>
              <w:adjustRightInd w:val="0"/>
              <w:snapToGrid w:val="0"/>
              <w:jc w:val="center"/>
              <w:rPr>
                <w:rFonts w:eastAsia="新宋体"/>
                <w:color w:val="000000" w:themeColor="text1"/>
                <w:szCs w:val="21"/>
                <w:lang w:val="en-GB"/>
              </w:rPr>
            </w:pPr>
            <w:r>
              <w:rPr>
                <w:rFonts w:hint="eastAsia" w:eastAsia="新宋体"/>
                <w:color w:val="000000" w:themeColor="text1"/>
                <w:szCs w:val="21"/>
                <w:lang w:val="en-GB"/>
              </w:rPr>
              <w:t>合计1</w:t>
            </w:r>
            <w:r>
              <w:rPr>
                <w:rFonts w:eastAsia="新宋体"/>
                <w:color w:val="000000" w:themeColor="text1"/>
                <w:szCs w:val="21"/>
                <w:lang w:val="en-GB"/>
              </w:rPr>
              <w:t>3</w:t>
            </w:r>
            <w:r>
              <w:rPr>
                <w:rFonts w:hint="eastAsia" w:eastAsia="新宋体"/>
                <w:color w:val="000000" w:themeColor="text1"/>
                <w:szCs w:val="21"/>
                <w:lang w:val="en-GB"/>
              </w:rPr>
              <w:t>天，工时上浮1倍（工时系数2）</w:t>
            </w:r>
          </w:p>
        </w:tc>
      </w:tr>
      <w:tr w14:paraId="39E3D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851" w:type="dxa"/>
            <w:vAlign w:val="center"/>
          </w:tcPr>
          <w:p w14:paraId="64417DE7">
            <w:pPr>
              <w:jc w:val="center"/>
              <w:rPr>
                <w:rFonts w:eastAsia="新宋体"/>
                <w:color w:val="000000" w:themeColor="text1"/>
                <w:szCs w:val="21"/>
                <w:lang w:val="en-GB"/>
              </w:rPr>
            </w:pPr>
            <w:r>
              <w:rPr>
                <w:rFonts w:eastAsia="新宋体"/>
                <w:color w:val="000000" w:themeColor="text1"/>
                <w:szCs w:val="21"/>
                <w:lang w:val="en-GB"/>
              </w:rPr>
              <w:t>2</w:t>
            </w:r>
          </w:p>
        </w:tc>
        <w:tc>
          <w:tcPr>
            <w:tcW w:w="2410" w:type="dxa"/>
            <w:vAlign w:val="center"/>
          </w:tcPr>
          <w:p w14:paraId="3F8804A6">
            <w:pPr>
              <w:jc w:val="center"/>
              <w:rPr>
                <w:rFonts w:eastAsia="新宋体"/>
                <w:color w:val="000000" w:themeColor="text1"/>
                <w:szCs w:val="21"/>
                <w:lang w:val="en-GB"/>
              </w:rPr>
            </w:pPr>
            <w:r>
              <w:rPr>
                <w:rFonts w:eastAsia="新宋体"/>
                <w:color w:val="000000" w:themeColor="text1"/>
                <w:szCs w:val="21"/>
                <w:lang w:val="en-GB"/>
              </w:rPr>
              <w:t>春节</w:t>
            </w:r>
          </w:p>
        </w:tc>
        <w:tc>
          <w:tcPr>
            <w:tcW w:w="3260" w:type="dxa"/>
            <w:vAlign w:val="center"/>
          </w:tcPr>
          <w:p w14:paraId="60272633">
            <w:pPr>
              <w:rPr>
                <w:rFonts w:eastAsia="新宋体"/>
                <w:color w:val="000000" w:themeColor="text1"/>
                <w:szCs w:val="21"/>
                <w:lang w:val="en-GB"/>
              </w:rPr>
            </w:pPr>
            <w:r>
              <w:rPr>
                <w:rFonts w:eastAsia="新宋体"/>
                <w:color w:val="000000" w:themeColor="text1"/>
                <w:szCs w:val="21"/>
                <w:lang w:val="en-GB"/>
              </w:rPr>
              <w:t>农历除夕、正月初一</w:t>
            </w:r>
            <w:r>
              <w:rPr>
                <w:rFonts w:hint="eastAsia" w:eastAsia="新宋体"/>
                <w:color w:val="000000" w:themeColor="text1"/>
                <w:szCs w:val="21"/>
                <w:lang w:val="en-GB"/>
              </w:rPr>
              <w:t>至初三</w:t>
            </w:r>
          </w:p>
        </w:tc>
        <w:tc>
          <w:tcPr>
            <w:tcW w:w="698" w:type="dxa"/>
            <w:vAlign w:val="center"/>
          </w:tcPr>
          <w:p w14:paraId="58F160D2">
            <w:pPr>
              <w:jc w:val="center"/>
              <w:rPr>
                <w:rFonts w:eastAsia="新宋体"/>
                <w:color w:val="000000" w:themeColor="text1"/>
                <w:szCs w:val="21"/>
                <w:lang w:val="en-GB"/>
              </w:rPr>
            </w:pPr>
            <w:r>
              <w:rPr>
                <w:rFonts w:eastAsia="新宋体"/>
                <w:color w:val="000000" w:themeColor="text1"/>
                <w:szCs w:val="21"/>
                <w:lang w:val="en-GB"/>
              </w:rPr>
              <w:t>4</w:t>
            </w:r>
          </w:p>
        </w:tc>
        <w:tc>
          <w:tcPr>
            <w:tcW w:w="2420" w:type="dxa"/>
            <w:vMerge w:val="continue"/>
          </w:tcPr>
          <w:p w14:paraId="3F1C4084">
            <w:pPr>
              <w:adjustRightInd w:val="0"/>
              <w:snapToGrid w:val="0"/>
              <w:rPr>
                <w:rFonts w:ascii="宋体" w:hAnsi="宋体" w:cs="Arial"/>
                <w:bCs/>
                <w:sz w:val="24"/>
                <w:lang w:val="en-GB"/>
              </w:rPr>
            </w:pPr>
          </w:p>
        </w:tc>
      </w:tr>
      <w:tr w14:paraId="4E409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851" w:type="dxa"/>
            <w:vAlign w:val="center"/>
          </w:tcPr>
          <w:p w14:paraId="7468B0CA">
            <w:pPr>
              <w:jc w:val="center"/>
              <w:rPr>
                <w:rFonts w:eastAsia="新宋体"/>
                <w:color w:val="000000" w:themeColor="text1"/>
                <w:szCs w:val="21"/>
                <w:lang w:val="en-GB"/>
              </w:rPr>
            </w:pPr>
            <w:r>
              <w:rPr>
                <w:rFonts w:eastAsia="新宋体"/>
                <w:color w:val="000000" w:themeColor="text1"/>
                <w:szCs w:val="21"/>
                <w:lang w:val="en-GB"/>
              </w:rPr>
              <w:t>3</w:t>
            </w:r>
          </w:p>
        </w:tc>
        <w:tc>
          <w:tcPr>
            <w:tcW w:w="2410" w:type="dxa"/>
            <w:vAlign w:val="center"/>
          </w:tcPr>
          <w:p w14:paraId="6F53252C">
            <w:pPr>
              <w:jc w:val="center"/>
              <w:rPr>
                <w:rFonts w:eastAsia="新宋体"/>
                <w:color w:val="000000" w:themeColor="text1"/>
                <w:szCs w:val="21"/>
                <w:lang w:val="en-GB"/>
              </w:rPr>
            </w:pPr>
            <w:r>
              <w:rPr>
                <w:rFonts w:eastAsia="新宋体"/>
                <w:color w:val="000000" w:themeColor="text1"/>
                <w:szCs w:val="21"/>
                <w:lang w:val="en-GB"/>
              </w:rPr>
              <w:t>清明节</w:t>
            </w:r>
          </w:p>
        </w:tc>
        <w:tc>
          <w:tcPr>
            <w:tcW w:w="3260" w:type="dxa"/>
            <w:vAlign w:val="center"/>
          </w:tcPr>
          <w:p w14:paraId="63C6097C">
            <w:pPr>
              <w:rPr>
                <w:rFonts w:eastAsia="新宋体"/>
                <w:color w:val="000000" w:themeColor="text1"/>
                <w:szCs w:val="21"/>
                <w:lang w:val="en-GB"/>
              </w:rPr>
            </w:pPr>
            <w:r>
              <w:rPr>
                <w:rFonts w:hint="eastAsia" w:eastAsia="新宋体"/>
                <w:color w:val="000000" w:themeColor="text1"/>
                <w:szCs w:val="21"/>
                <w:lang w:val="en-GB"/>
              </w:rPr>
              <w:t>农历清明</w:t>
            </w:r>
            <w:r>
              <w:rPr>
                <w:rFonts w:eastAsia="新宋体"/>
                <w:color w:val="000000" w:themeColor="text1"/>
                <w:szCs w:val="21"/>
                <w:lang w:val="en-GB"/>
              </w:rPr>
              <w:t>当日</w:t>
            </w:r>
          </w:p>
        </w:tc>
        <w:tc>
          <w:tcPr>
            <w:tcW w:w="698" w:type="dxa"/>
            <w:vAlign w:val="center"/>
          </w:tcPr>
          <w:p w14:paraId="3F66C7AB">
            <w:pPr>
              <w:jc w:val="center"/>
              <w:rPr>
                <w:rFonts w:eastAsia="新宋体"/>
                <w:color w:val="000000" w:themeColor="text1"/>
                <w:szCs w:val="21"/>
                <w:lang w:val="en-GB"/>
              </w:rPr>
            </w:pPr>
            <w:r>
              <w:rPr>
                <w:rFonts w:eastAsia="新宋体"/>
                <w:color w:val="000000" w:themeColor="text1"/>
                <w:szCs w:val="21"/>
                <w:lang w:val="en-GB"/>
              </w:rPr>
              <w:t>1</w:t>
            </w:r>
          </w:p>
        </w:tc>
        <w:tc>
          <w:tcPr>
            <w:tcW w:w="2420" w:type="dxa"/>
            <w:vMerge w:val="continue"/>
          </w:tcPr>
          <w:p w14:paraId="6506BAFE">
            <w:pPr>
              <w:adjustRightInd w:val="0"/>
              <w:snapToGrid w:val="0"/>
              <w:rPr>
                <w:rFonts w:ascii="宋体" w:hAnsi="宋体" w:cs="Arial"/>
                <w:bCs/>
                <w:sz w:val="24"/>
                <w:lang w:val="en-GB"/>
              </w:rPr>
            </w:pPr>
          </w:p>
        </w:tc>
      </w:tr>
      <w:tr w14:paraId="1C216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851" w:type="dxa"/>
            <w:vAlign w:val="center"/>
          </w:tcPr>
          <w:p w14:paraId="1E83CC91">
            <w:pPr>
              <w:jc w:val="center"/>
              <w:rPr>
                <w:rFonts w:eastAsia="新宋体"/>
                <w:color w:val="000000" w:themeColor="text1"/>
                <w:szCs w:val="21"/>
                <w:lang w:val="en-GB"/>
              </w:rPr>
            </w:pPr>
            <w:r>
              <w:rPr>
                <w:rFonts w:eastAsia="新宋体"/>
                <w:color w:val="000000" w:themeColor="text1"/>
                <w:szCs w:val="21"/>
                <w:lang w:val="en-GB"/>
              </w:rPr>
              <w:t>4</w:t>
            </w:r>
          </w:p>
        </w:tc>
        <w:tc>
          <w:tcPr>
            <w:tcW w:w="2410" w:type="dxa"/>
            <w:vAlign w:val="center"/>
          </w:tcPr>
          <w:p w14:paraId="414B9970">
            <w:pPr>
              <w:jc w:val="center"/>
              <w:rPr>
                <w:rFonts w:eastAsia="新宋体"/>
                <w:color w:val="000000" w:themeColor="text1"/>
                <w:szCs w:val="21"/>
                <w:lang w:val="en-GB"/>
              </w:rPr>
            </w:pPr>
            <w:r>
              <w:rPr>
                <w:rFonts w:eastAsia="新宋体"/>
                <w:color w:val="000000" w:themeColor="text1"/>
                <w:szCs w:val="21"/>
                <w:lang w:val="en-GB"/>
              </w:rPr>
              <w:t>劳动节</w:t>
            </w:r>
          </w:p>
        </w:tc>
        <w:tc>
          <w:tcPr>
            <w:tcW w:w="3260" w:type="dxa"/>
            <w:vAlign w:val="center"/>
          </w:tcPr>
          <w:p w14:paraId="0C4A3176">
            <w:pPr>
              <w:rPr>
                <w:rFonts w:eastAsia="新宋体"/>
                <w:color w:val="000000" w:themeColor="text1"/>
                <w:szCs w:val="21"/>
                <w:lang w:val="en-GB"/>
              </w:rPr>
            </w:pPr>
            <w:r>
              <w:rPr>
                <w:rFonts w:hint="eastAsia" w:eastAsia="新宋体"/>
                <w:color w:val="000000" w:themeColor="text1"/>
                <w:szCs w:val="21"/>
                <w:lang w:val="en-GB"/>
              </w:rPr>
              <w:t>5月1日、2日</w:t>
            </w:r>
          </w:p>
        </w:tc>
        <w:tc>
          <w:tcPr>
            <w:tcW w:w="698" w:type="dxa"/>
            <w:vAlign w:val="center"/>
          </w:tcPr>
          <w:p w14:paraId="15583231">
            <w:pPr>
              <w:jc w:val="center"/>
              <w:rPr>
                <w:rFonts w:eastAsia="新宋体"/>
                <w:color w:val="000000" w:themeColor="text1"/>
                <w:szCs w:val="21"/>
                <w:lang w:val="en-GB"/>
              </w:rPr>
            </w:pPr>
            <w:r>
              <w:rPr>
                <w:rFonts w:eastAsia="新宋体"/>
                <w:color w:val="000000" w:themeColor="text1"/>
                <w:szCs w:val="21"/>
                <w:lang w:val="en-GB"/>
              </w:rPr>
              <w:t>2</w:t>
            </w:r>
          </w:p>
        </w:tc>
        <w:tc>
          <w:tcPr>
            <w:tcW w:w="2420" w:type="dxa"/>
            <w:vMerge w:val="continue"/>
          </w:tcPr>
          <w:p w14:paraId="738A4FB9">
            <w:pPr>
              <w:adjustRightInd w:val="0"/>
              <w:snapToGrid w:val="0"/>
              <w:rPr>
                <w:rFonts w:ascii="宋体" w:hAnsi="宋体" w:cs="Arial"/>
                <w:bCs/>
                <w:sz w:val="24"/>
                <w:lang w:val="en-GB"/>
              </w:rPr>
            </w:pPr>
          </w:p>
        </w:tc>
      </w:tr>
      <w:tr w14:paraId="463B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51" w:type="dxa"/>
            <w:vAlign w:val="center"/>
          </w:tcPr>
          <w:p w14:paraId="48BED019">
            <w:pPr>
              <w:jc w:val="center"/>
              <w:rPr>
                <w:rFonts w:eastAsia="新宋体"/>
                <w:color w:val="000000" w:themeColor="text1"/>
                <w:szCs w:val="21"/>
                <w:lang w:val="en-GB"/>
              </w:rPr>
            </w:pPr>
            <w:r>
              <w:rPr>
                <w:rFonts w:eastAsia="新宋体"/>
                <w:color w:val="000000" w:themeColor="text1"/>
                <w:szCs w:val="21"/>
                <w:lang w:val="en-GB"/>
              </w:rPr>
              <w:t>5</w:t>
            </w:r>
          </w:p>
        </w:tc>
        <w:tc>
          <w:tcPr>
            <w:tcW w:w="2410" w:type="dxa"/>
            <w:vAlign w:val="center"/>
          </w:tcPr>
          <w:p w14:paraId="5B42356F">
            <w:pPr>
              <w:jc w:val="center"/>
              <w:rPr>
                <w:rFonts w:eastAsia="新宋体"/>
                <w:color w:val="000000" w:themeColor="text1"/>
                <w:szCs w:val="21"/>
                <w:lang w:val="en-GB"/>
              </w:rPr>
            </w:pPr>
            <w:r>
              <w:rPr>
                <w:rFonts w:eastAsia="新宋体"/>
                <w:color w:val="000000" w:themeColor="text1"/>
                <w:szCs w:val="21"/>
                <w:lang w:val="en-GB"/>
              </w:rPr>
              <w:t>端午节</w:t>
            </w:r>
          </w:p>
        </w:tc>
        <w:tc>
          <w:tcPr>
            <w:tcW w:w="3260" w:type="dxa"/>
            <w:vAlign w:val="center"/>
          </w:tcPr>
          <w:p w14:paraId="1608C1D0">
            <w:pPr>
              <w:rPr>
                <w:rFonts w:eastAsia="新宋体"/>
                <w:color w:val="000000" w:themeColor="text1"/>
                <w:szCs w:val="21"/>
                <w:lang w:val="en-GB"/>
              </w:rPr>
            </w:pPr>
            <w:r>
              <w:rPr>
                <w:rFonts w:eastAsia="新宋体"/>
                <w:color w:val="000000" w:themeColor="text1"/>
                <w:szCs w:val="21"/>
                <w:lang w:val="en-GB"/>
              </w:rPr>
              <w:t>农历</w:t>
            </w:r>
            <w:r>
              <w:rPr>
                <w:rFonts w:hint="eastAsia" w:eastAsia="新宋体"/>
                <w:color w:val="000000" w:themeColor="text1"/>
                <w:szCs w:val="21"/>
                <w:lang w:val="en-GB"/>
              </w:rPr>
              <w:t>端午当日</w:t>
            </w:r>
          </w:p>
        </w:tc>
        <w:tc>
          <w:tcPr>
            <w:tcW w:w="698" w:type="dxa"/>
            <w:vAlign w:val="center"/>
          </w:tcPr>
          <w:p w14:paraId="68FFFDE9">
            <w:pPr>
              <w:jc w:val="center"/>
              <w:rPr>
                <w:rFonts w:eastAsia="新宋体"/>
                <w:color w:val="000000" w:themeColor="text1"/>
                <w:szCs w:val="21"/>
                <w:lang w:val="en-GB"/>
              </w:rPr>
            </w:pPr>
            <w:r>
              <w:rPr>
                <w:rFonts w:eastAsia="新宋体"/>
                <w:color w:val="000000" w:themeColor="text1"/>
                <w:szCs w:val="21"/>
                <w:lang w:val="en-GB"/>
              </w:rPr>
              <w:t>1</w:t>
            </w:r>
          </w:p>
        </w:tc>
        <w:tc>
          <w:tcPr>
            <w:tcW w:w="2420" w:type="dxa"/>
            <w:vMerge w:val="continue"/>
          </w:tcPr>
          <w:p w14:paraId="3FBCBA12">
            <w:pPr>
              <w:adjustRightInd w:val="0"/>
              <w:snapToGrid w:val="0"/>
              <w:rPr>
                <w:rFonts w:ascii="宋体" w:hAnsi="宋体" w:cs="Arial"/>
                <w:bCs/>
                <w:sz w:val="24"/>
                <w:lang w:val="en-GB"/>
              </w:rPr>
            </w:pPr>
          </w:p>
        </w:tc>
      </w:tr>
      <w:tr w14:paraId="18867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51" w:type="dxa"/>
            <w:vAlign w:val="center"/>
          </w:tcPr>
          <w:p w14:paraId="66C6CCDD">
            <w:pPr>
              <w:jc w:val="center"/>
              <w:rPr>
                <w:rFonts w:eastAsia="新宋体"/>
                <w:color w:val="000000" w:themeColor="text1"/>
                <w:szCs w:val="21"/>
                <w:lang w:val="en-GB"/>
              </w:rPr>
            </w:pPr>
            <w:r>
              <w:rPr>
                <w:rFonts w:eastAsia="新宋体"/>
                <w:color w:val="000000" w:themeColor="text1"/>
                <w:szCs w:val="21"/>
                <w:lang w:val="en-GB"/>
              </w:rPr>
              <w:t>6</w:t>
            </w:r>
          </w:p>
        </w:tc>
        <w:tc>
          <w:tcPr>
            <w:tcW w:w="2410" w:type="dxa"/>
            <w:vAlign w:val="center"/>
          </w:tcPr>
          <w:p w14:paraId="73AE2115">
            <w:pPr>
              <w:jc w:val="center"/>
              <w:rPr>
                <w:rFonts w:eastAsia="新宋体"/>
                <w:color w:val="000000" w:themeColor="text1"/>
                <w:szCs w:val="21"/>
                <w:lang w:val="en-GB"/>
              </w:rPr>
            </w:pPr>
            <w:r>
              <w:rPr>
                <w:rFonts w:eastAsia="新宋体"/>
                <w:color w:val="000000" w:themeColor="text1"/>
                <w:szCs w:val="21"/>
                <w:lang w:val="en-GB"/>
              </w:rPr>
              <w:t>中秋节</w:t>
            </w:r>
          </w:p>
        </w:tc>
        <w:tc>
          <w:tcPr>
            <w:tcW w:w="3260" w:type="dxa"/>
            <w:vAlign w:val="center"/>
          </w:tcPr>
          <w:p w14:paraId="7A382AEC">
            <w:pPr>
              <w:rPr>
                <w:rFonts w:eastAsia="新宋体"/>
                <w:color w:val="000000" w:themeColor="text1"/>
                <w:szCs w:val="21"/>
                <w:lang w:val="en-GB"/>
              </w:rPr>
            </w:pPr>
            <w:r>
              <w:rPr>
                <w:rFonts w:eastAsia="新宋体"/>
                <w:color w:val="000000" w:themeColor="text1"/>
                <w:szCs w:val="21"/>
                <w:lang w:val="en-GB"/>
              </w:rPr>
              <w:t>农历</w:t>
            </w:r>
            <w:r>
              <w:rPr>
                <w:rFonts w:hint="eastAsia" w:eastAsia="新宋体"/>
                <w:color w:val="000000" w:themeColor="text1"/>
                <w:szCs w:val="21"/>
                <w:lang w:val="en-GB"/>
              </w:rPr>
              <w:t>中秋当日</w:t>
            </w:r>
          </w:p>
        </w:tc>
        <w:tc>
          <w:tcPr>
            <w:tcW w:w="698" w:type="dxa"/>
            <w:vAlign w:val="center"/>
          </w:tcPr>
          <w:p w14:paraId="57D38928">
            <w:pPr>
              <w:jc w:val="center"/>
              <w:rPr>
                <w:rFonts w:eastAsia="新宋体"/>
                <w:color w:val="000000" w:themeColor="text1"/>
                <w:szCs w:val="21"/>
                <w:lang w:val="en-GB"/>
              </w:rPr>
            </w:pPr>
            <w:r>
              <w:rPr>
                <w:rFonts w:eastAsia="新宋体"/>
                <w:color w:val="000000" w:themeColor="text1"/>
                <w:szCs w:val="21"/>
                <w:lang w:val="en-GB"/>
              </w:rPr>
              <w:t>1</w:t>
            </w:r>
          </w:p>
        </w:tc>
        <w:tc>
          <w:tcPr>
            <w:tcW w:w="2420" w:type="dxa"/>
            <w:vMerge w:val="continue"/>
          </w:tcPr>
          <w:p w14:paraId="6941B33F">
            <w:pPr>
              <w:adjustRightInd w:val="0"/>
              <w:snapToGrid w:val="0"/>
              <w:rPr>
                <w:rFonts w:ascii="宋体" w:hAnsi="宋体" w:cs="Arial"/>
                <w:bCs/>
                <w:sz w:val="24"/>
                <w:lang w:val="en-GB"/>
              </w:rPr>
            </w:pPr>
          </w:p>
        </w:tc>
      </w:tr>
      <w:tr w14:paraId="4043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51" w:type="dxa"/>
            <w:vAlign w:val="center"/>
          </w:tcPr>
          <w:p w14:paraId="78BA0789">
            <w:pPr>
              <w:jc w:val="center"/>
              <w:rPr>
                <w:rFonts w:eastAsia="新宋体"/>
                <w:color w:val="000000" w:themeColor="text1"/>
                <w:szCs w:val="21"/>
                <w:lang w:val="en-GB"/>
              </w:rPr>
            </w:pPr>
            <w:r>
              <w:rPr>
                <w:rFonts w:eastAsia="新宋体"/>
                <w:color w:val="000000" w:themeColor="text1"/>
                <w:szCs w:val="21"/>
                <w:lang w:val="en-GB"/>
              </w:rPr>
              <w:t>7</w:t>
            </w:r>
          </w:p>
        </w:tc>
        <w:tc>
          <w:tcPr>
            <w:tcW w:w="2410" w:type="dxa"/>
            <w:vAlign w:val="center"/>
          </w:tcPr>
          <w:p w14:paraId="13C001AB">
            <w:pPr>
              <w:jc w:val="center"/>
              <w:rPr>
                <w:rFonts w:eastAsia="新宋体"/>
                <w:color w:val="000000" w:themeColor="text1"/>
                <w:szCs w:val="21"/>
                <w:lang w:val="en-GB"/>
              </w:rPr>
            </w:pPr>
            <w:r>
              <w:rPr>
                <w:rFonts w:eastAsia="新宋体"/>
                <w:color w:val="000000" w:themeColor="text1"/>
                <w:szCs w:val="21"/>
                <w:lang w:val="en-GB"/>
              </w:rPr>
              <w:t>国庆节</w:t>
            </w:r>
          </w:p>
        </w:tc>
        <w:tc>
          <w:tcPr>
            <w:tcW w:w="3260" w:type="dxa"/>
            <w:vAlign w:val="center"/>
          </w:tcPr>
          <w:p w14:paraId="480CAA01">
            <w:pPr>
              <w:rPr>
                <w:rFonts w:eastAsia="新宋体"/>
                <w:color w:val="000000" w:themeColor="text1"/>
                <w:szCs w:val="21"/>
                <w:lang w:val="en-GB"/>
              </w:rPr>
            </w:pPr>
            <w:r>
              <w:rPr>
                <w:rFonts w:hint="eastAsia" w:eastAsia="新宋体"/>
                <w:color w:val="000000" w:themeColor="text1"/>
                <w:szCs w:val="21"/>
                <w:lang w:val="en-GB"/>
              </w:rPr>
              <w:t>1</w:t>
            </w:r>
            <w:r>
              <w:rPr>
                <w:rFonts w:eastAsia="新宋体"/>
                <w:color w:val="000000" w:themeColor="text1"/>
                <w:szCs w:val="21"/>
                <w:lang w:val="en-GB"/>
              </w:rPr>
              <w:t>0</w:t>
            </w:r>
            <w:r>
              <w:rPr>
                <w:rFonts w:hint="eastAsia" w:eastAsia="新宋体"/>
                <w:color w:val="000000" w:themeColor="text1"/>
                <w:szCs w:val="21"/>
                <w:lang w:val="en-GB"/>
              </w:rPr>
              <w:t>月</w:t>
            </w:r>
            <w:r>
              <w:rPr>
                <w:rFonts w:eastAsia="新宋体"/>
                <w:color w:val="000000" w:themeColor="text1"/>
                <w:szCs w:val="21"/>
                <w:lang w:val="en-GB"/>
              </w:rPr>
              <w:t>1</w:t>
            </w:r>
            <w:r>
              <w:rPr>
                <w:rFonts w:hint="eastAsia" w:eastAsia="新宋体"/>
                <w:color w:val="000000" w:themeColor="text1"/>
                <w:szCs w:val="21"/>
                <w:lang w:val="en-GB"/>
              </w:rPr>
              <w:t>日至3日</w:t>
            </w:r>
          </w:p>
        </w:tc>
        <w:tc>
          <w:tcPr>
            <w:tcW w:w="698" w:type="dxa"/>
            <w:vAlign w:val="center"/>
          </w:tcPr>
          <w:p w14:paraId="28E2BAA3">
            <w:pPr>
              <w:jc w:val="center"/>
              <w:rPr>
                <w:rFonts w:eastAsia="新宋体"/>
                <w:color w:val="000000" w:themeColor="text1"/>
                <w:szCs w:val="21"/>
                <w:lang w:val="en-GB"/>
              </w:rPr>
            </w:pPr>
            <w:r>
              <w:rPr>
                <w:rFonts w:eastAsia="新宋体"/>
                <w:color w:val="000000" w:themeColor="text1"/>
                <w:szCs w:val="21"/>
                <w:lang w:val="en-GB"/>
              </w:rPr>
              <w:t>3</w:t>
            </w:r>
          </w:p>
        </w:tc>
        <w:tc>
          <w:tcPr>
            <w:tcW w:w="2420" w:type="dxa"/>
            <w:vMerge w:val="continue"/>
          </w:tcPr>
          <w:p w14:paraId="1D1EC3A0">
            <w:pPr>
              <w:adjustRightInd w:val="0"/>
              <w:snapToGrid w:val="0"/>
              <w:rPr>
                <w:rFonts w:ascii="宋体" w:hAnsi="宋体" w:cs="Arial"/>
                <w:bCs/>
                <w:sz w:val="24"/>
                <w:lang w:val="en-GB"/>
              </w:rPr>
            </w:pPr>
          </w:p>
        </w:tc>
      </w:tr>
    </w:tbl>
    <w:p w14:paraId="49B3643F">
      <w:pPr>
        <w:pStyle w:val="3"/>
        <w:snapToGrid w:val="0"/>
        <w:ind w:firstLine="0"/>
        <w:rPr>
          <w:rFonts w:hint="default" w:ascii="Times New Roman" w:eastAsia="新宋体"/>
          <w:color w:val="000000" w:themeColor="text1"/>
          <w:sz w:val="21"/>
          <w:szCs w:val="21"/>
          <w:lang w:val="en-GB"/>
        </w:rPr>
      </w:pPr>
    </w:p>
    <w:p w14:paraId="58F5A252">
      <w:pPr>
        <w:adjustRightInd w:val="0"/>
        <w:snapToGrid w:val="0"/>
        <w:spacing w:before="156" w:beforeLines="50" w:line="360" w:lineRule="auto"/>
        <w:rPr>
          <w:rFonts w:ascii="宋体" w:hAnsi="宋体" w:cs="Arial"/>
          <w:bCs/>
          <w:sz w:val="24"/>
        </w:rPr>
      </w:pPr>
      <w:r>
        <w:rPr>
          <w:rFonts w:eastAsia="新宋体"/>
          <w:color w:val="000000" w:themeColor="text1"/>
          <w:szCs w:val="21"/>
          <w:lang w:val="en-GB"/>
        </w:rPr>
        <w:t>5.3.5</w:t>
      </w:r>
      <w:r>
        <w:rPr>
          <w:rFonts w:hint="eastAsia" w:eastAsia="新宋体"/>
          <w:color w:val="000000" w:themeColor="text1"/>
          <w:szCs w:val="21"/>
          <w:lang w:val="en-GB"/>
        </w:rPr>
        <w:t>二级服务站费用增加标准：</w:t>
      </w:r>
      <w:r>
        <w:rPr>
          <w:rFonts w:hint="eastAsia" w:ascii="宋体" w:hAnsi="宋体" w:cs="Arial"/>
          <w:bCs/>
          <w:sz w:val="24"/>
        </w:rPr>
        <w:t xml:space="preserve"> </w:t>
      </w:r>
    </w:p>
    <w:p w14:paraId="6260FBD4">
      <w:pPr>
        <w:adjustRightInd w:val="0"/>
        <w:snapToGrid w:val="0"/>
        <w:spacing w:line="360" w:lineRule="auto"/>
        <w:rPr>
          <w:rFonts w:eastAsia="新宋体"/>
          <w:color w:val="000000" w:themeColor="text1"/>
          <w:szCs w:val="21"/>
          <w:lang w:val="en-GB"/>
        </w:rPr>
      </w:pPr>
      <w:r>
        <w:rPr>
          <w:rFonts w:eastAsia="新宋体"/>
          <w:color w:val="000000" w:themeColor="text1"/>
          <w:szCs w:val="21"/>
          <w:lang w:val="en-GB"/>
        </w:rPr>
        <w:t>5.3.5.1</w:t>
      </w:r>
      <w:r>
        <w:rPr>
          <w:rFonts w:hint="eastAsia" w:eastAsia="新宋体"/>
          <w:color w:val="000000" w:themeColor="text1"/>
          <w:szCs w:val="21"/>
          <w:lang w:val="en-GB"/>
        </w:rPr>
        <w:t>由备案二级站（含合作服务点）维修的项目，由特约站按照保修报单规定在系统内报单，每份维保单据可报30元管理费；</w:t>
      </w:r>
    </w:p>
    <w:p w14:paraId="3DA9DE44">
      <w:pPr>
        <w:adjustRightInd w:val="0"/>
        <w:snapToGrid w:val="0"/>
        <w:spacing w:line="360" w:lineRule="auto"/>
        <w:rPr>
          <w:rFonts w:eastAsia="新宋体"/>
          <w:color w:val="000000" w:themeColor="text1"/>
          <w:szCs w:val="21"/>
          <w:lang w:val="en-GB"/>
        </w:rPr>
      </w:pPr>
      <w:r>
        <w:rPr>
          <w:rFonts w:eastAsia="新宋体"/>
          <w:color w:val="000000" w:themeColor="text1"/>
          <w:szCs w:val="21"/>
          <w:lang w:val="en-GB"/>
        </w:rPr>
        <w:t xml:space="preserve">5.3.5.2 </w:t>
      </w:r>
      <w:r>
        <w:rPr>
          <w:rFonts w:hint="eastAsia" w:eastAsia="新宋体"/>
          <w:color w:val="000000" w:themeColor="text1"/>
          <w:szCs w:val="21"/>
          <w:lang w:val="en-GB"/>
        </w:rPr>
        <w:t>维修工时费（含走保工时费）上浮4</w:t>
      </w:r>
      <w:r>
        <w:rPr>
          <w:rFonts w:eastAsia="新宋体"/>
          <w:color w:val="000000" w:themeColor="text1"/>
          <w:szCs w:val="21"/>
          <w:lang w:val="en-GB"/>
        </w:rPr>
        <w:t>0</w:t>
      </w:r>
      <w:r>
        <w:rPr>
          <w:rFonts w:hint="eastAsia" w:eastAsia="新宋体"/>
          <w:color w:val="000000" w:themeColor="text1"/>
          <w:szCs w:val="21"/>
          <w:lang w:val="en-GB"/>
        </w:rPr>
        <w:t>%（工时系数1</w:t>
      </w:r>
      <w:r>
        <w:rPr>
          <w:rFonts w:eastAsia="新宋体"/>
          <w:color w:val="000000" w:themeColor="text1"/>
          <w:szCs w:val="21"/>
          <w:lang w:val="en-GB"/>
        </w:rPr>
        <w:t>.4</w:t>
      </w:r>
      <w:r>
        <w:rPr>
          <w:rFonts w:hint="eastAsia" w:eastAsia="新宋体"/>
          <w:color w:val="000000" w:themeColor="text1"/>
          <w:szCs w:val="21"/>
          <w:lang w:val="en-GB"/>
        </w:rPr>
        <w:t>）；</w:t>
      </w:r>
    </w:p>
    <w:p w14:paraId="38C09FE9">
      <w:pPr>
        <w:adjustRightInd w:val="0"/>
        <w:snapToGrid w:val="0"/>
        <w:spacing w:line="360" w:lineRule="auto"/>
        <w:rPr>
          <w:rFonts w:eastAsia="新宋体"/>
          <w:color w:val="000000" w:themeColor="text1"/>
          <w:szCs w:val="21"/>
          <w:lang w:val="en-GB"/>
        </w:rPr>
      </w:pPr>
      <w:r>
        <w:rPr>
          <w:rFonts w:eastAsia="新宋体"/>
          <w:color w:val="000000" w:themeColor="text1"/>
          <w:szCs w:val="21"/>
          <w:lang w:val="en-GB"/>
        </w:rPr>
        <w:t xml:space="preserve">5.3.5.3 </w:t>
      </w:r>
      <w:r>
        <w:rPr>
          <w:rFonts w:hint="eastAsia" w:eastAsia="新宋体"/>
          <w:color w:val="000000" w:themeColor="text1"/>
          <w:szCs w:val="21"/>
          <w:lang w:val="en-GB"/>
        </w:rPr>
        <w:t>由特约站发至二级站（含合作服务点）的保修件物流运费及二级站（含合作服务点）返还给特约站的旧件物流运费实际结算。</w:t>
      </w:r>
    </w:p>
    <w:p w14:paraId="50C372E1">
      <w:pPr>
        <w:adjustRightInd w:val="0"/>
        <w:snapToGrid w:val="0"/>
        <w:spacing w:line="360" w:lineRule="auto"/>
        <w:rPr>
          <w:rFonts w:eastAsia="新宋体"/>
          <w:color w:val="000000" w:themeColor="text1"/>
          <w:szCs w:val="21"/>
          <w:lang w:val="en-GB"/>
        </w:rPr>
      </w:pPr>
      <w:r>
        <w:rPr>
          <w:rFonts w:eastAsia="新宋体"/>
          <w:color w:val="000000" w:themeColor="text1"/>
          <w:szCs w:val="21"/>
          <w:lang w:val="en-GB"/>
        </w:rPr>
        <w:t xml:space="preserve">5.3.6 </w:t>
      </w:r>
      <w:r>
        <w:rPr>
          <w:rFonts w:hint="eastAsia" w:eastAsia="新宋体"/>
          <w:color w:val="000000" w:themeColor="text1"/>
          <w:szCs w:val="21"/>
          <w:lang w:val="en-GB"/>
        </w:rPr>
        <w:t>服务站信息反馈费用标准</w:t>
      </w:r>
    </w:p>
    <w:p w14:paraId="751AF548">
      <w:pPr>
        <w:adjustRightInd w:val="0"/>
        <w:snapToGrid w:val="0"/>
        <w:spacing w:line="360" w:lineRule="auto"/>
        <w:rPr>
          <w:rFonts w:eastAsia="新宋体"/>
          <w:color w:val="000000" w:themeColor="text1"/>
          <w:szCs w:val="21"/>
          <w:lang w:val="en-GB"/>
        </w:rPr>
      </w:pPr>
      <w:r>
        <w:rPr>
          <w:rFonts w:eastAsia="新宋体"/>
          <w:color w:val="000000" w:themeColor="text1"/>
          <w:szCs w:val="21"/>
          <w:lang w:val="en-GB"/>
        </w:rPr>
        <w:t xml:space="preserve">5.3.6.1 </w:t>
      </w:r>
      <w:r>
        <w:rPr>
          <w:rFonts w:hint="eastAsia" w:eastAsia="新宋体"/>
          <w:color w:val="000000" w:themeColor="text1"/>
          <w:szCs w:val="21"/>
          <w:lang w:val="en-GB"/>
        </w:rPr>
        <w:t>服务站准确反馈新能源车更换电池相关信息的，同一台车同一次更换不同电池，给予服务站50元/单费用。</w:t>
      </w:r>
    </w:p>
    <w:p w14:paraId="2640B94E">
      <w:pPr>
        <w:adjustRightInd w:val="0"/>
        <w:snapToGrid w:val="0"/>
        <w:spacing w:line="360" w:lineRule="auto"/>
        <w:rPr>
          <w:rFonts w:eastAsia="新宋体"/>
          <w:color w:val="000000" w:themeColor="text1"/>
          <w:szCs w:val="21"/>
          <w:lang w:val="en-GB"/>
        </w:rPr>
      </w:pPr>
      <w:r>
        <w:rPr>
          <w:rFonts w:eastAsia="新宋体"/>
          <w:color w:val="000000" w:themeColor="text1"/>
          <w:szCs w:val="21"/>
          <w:lang w:val="en-GB"/>
        </w:rPr>
        <w:t xml:space="preserve">5.3.6.2 </w:t>
      </w:r>
      <w:r>
        <w:rPr>
          <w:rFonts w:hint="eastAsia" w:eastAsia="新宋体"/>
          <w:color w:val="000000" w:themeColor="text1"/>
          <w:szCs w:val="21"/>
          <w:lang w:val="en-GB"/>
        </w:rPr>
        <w:t>对于供应商自服务（包括提供配件、自行维修等所有服务方式）的新V系车，服务站填报维保单反馈车辆问题及维修信息的，每单费用50元。</w:t>
      </w:r>
    </w:p>
    <w:p w14:paraId="2504416D">
      <w:pPr>
        <w:autoSpaceDE w:val="0"/>
        <w:autoSpaceDN w:val="0"/>
        <w:adjustRightInd w:val="0"/>
        <w:spacing w:line="360" w:lineRule="auto"/>
        <w:jc w:val="left"/>
        <w:rPr>
          <w:rFonts w:ascii="宋体" w:hAnsi="宋体"/>
          <w:b/>
          <w:sz w:val="24"/>
        </w:rPr>
      </w:pPr>
      <w:r>
        <w:rPr>
          <w:rFonts w:eastAsia="新宋体"/>
          <w:color w:val="000000" w:themeColor="text1"/>
          <w:szCs w:val="21"/>
          <w:lang w:val="en-GB"/>
        </w:rPr>
        <w:t xml:space="preserve">5.3.7 </w:t>
      </w:r>
      <w:r>
        <w:rPr>
          <w:rFonts w:hint="eastAsia" w:eastAsia="新宋体"/>
          <w:color w:val="000000" w:themeColor="text1"/>
          <w:szCs w:val="21"/>
          <w:lang w:val="en-GB"/>
        </w:rPr>
        <w:t>拖车费及叉车费填报规定</w:t>
      </w:r>
    </w:p>
    <w:p w14:paraId="2F4EC10D">
      <w:pPr>
        <w:autoSpaceDE w:val="0"/>
        <w:autoSpaceDN w:val="0"/>
        <w:adjustRightInd w:val="0"/>
        <w:spacing w:line="360" w:lineRule="auto"/>
        <w:jc w:val="left"/>
        <w:rPr>
          <w:rFonts w:eastAsia="新宋体"/>
          <w:color w:val="000000" w:themeColor="text1"/>
          <w:szCs w:val="21"/>
          <w:lang w:val="en-GB"/>
        </w:rPr>
      </w:pPr>
      <w:r>
        <w:rPr>
          <w:rFonts w:eastAsia="新宋体"/>
          <w:color w:val="000000" w:themeColor="text1"/>
          <w:szCs w:val="21"/>
          <w:lang w:val="en-GB"/>
        </w:rPr>
        <w:t xml:space="preserve">5.3.7.1 </w:t>
      </w:r>
      <w:r>
        <w:rPr>
          <w:rFonts w:hint="eastAsia" w:eastAsia="新宋体"/>
          <w:color w:val="000000" w:themeColor="text1"/>
          <w:szCs w:val="21"/>
          <w:lang w:val="en-GB"/>
        </w:rPr>
        <w:t>拖车费</w:t>
      </w:r>
    </w:p>
    <w:p w14:paraId="7B50CA03">
      <w:pPr>
        <w:autoSpaceDE w:val="0"/>
        <w:autoSpaceDN w:val="0"/>
        <w:adjustRightInd w:val="0"/>
        <w:spacing w:line="360" w:lineRule="auto"/>
        <w:jc w:val="left"/>
        <w:rPr>
          <w:rFonts w:eastAsia="新宋体"/>
          <w:color w:val="000000" w:themeColor="text1"/>
          <w:szCs w:val="21"/>
          <w:lang w:val="en-GB"/>
        </w:rPr>
      </w:pPr>
      <w:r>
        <w:rPr>
          <w:rFonts w:hint="eastAsia" w:eastAsia="新宋体"/>
          <w:color w:val="000000" w:themeColor="text1"/>
          <w:szCs w:val="21"/>
          <w:lang w:val="en-GB"/>
        </w:rPr>
        <w:t>a、按不高于当地物价、市场、交管等部门公布的拖车费标准结算，参照收费标准时，从县、市、省级逐级参照。</w:t>
      </w:r>
    </w:p>
    <w:p w14:paraId="6562E16E">
      <w:pPr>
        <w:autoSpaceDE w:val="0"/>
        <w:autoSpaceDN w:val="0"/>
        <w:adjustRightInd w:val="0"/>
        <w:spacing w:line="360" w:lineRule="auto"/>
        <w:jc w:val="left"/>
        <w:rPr>
          <w:rFonts w:eastAsia="新宋体"/>
          <w:color w:val="000000" w:themeColor="text1"/>
          <w:szCs w:val="21"/>
          <w:lang w:val="en-GB"/>
        </w:rPr>
      </w:pPr>
      <w:r>
        <w:rPr>
          <w:rFonts w:hint="eastAsia" w:eastAsia="新宋体"/>
          <w:color w:val="000000" w:themeColor="text1"/>
          <w:szCs w:val="21"/>
          <w:lang w:val="en-GB"/>
        </w:rPr>
        <w:t>b、当地无明确官方标准的（县、市、省级均无），按当地比较经济的拖车公司的收费标准。</w:t>
      </w:r>
    </w:p>
    <w:p w14:paraId="1D6F1B0B">
      <w:pPr>
        <w:autoSpaceDE w:val="0"/>
        <w:autoSpaceDN w:val="0"/>
        <w:adjustRightInd w:val="0"/>
        <w:spacing w:line="360" w:lineRule="auto"/>
        <w:jc w:val="left"/>
        <w:rPr>
          <w:rFonts w:eastAsia="新宋体"/>
          <w:color w:val="000000" w:themeColor="text1"/>
          <w:szCs w:val="21"/>
          <w:lang w:val="en-GB"/>
        </w:rPr>
      </w:pPr>
      <w:r>
        <w:rPr>
          <w:rFonts w:eastAsia="新宋体"/>
          <w:color w:val="000000" w:themeColor="text1"/>
          <w:szCs w:val="21"/>
          <w:lang w:val="en-GB"/>
        </w:rPr>
        <w:t>C</w:t>
      </w:r>
      <w:r>
        <w:rPr>
          <w:rFonts w:hint="eastAsia" w:eastAsia="新宋体"/>
          <w:color w:val="000000" w:themeColor="text1"/>
          <w:szCs w:val="21"/>
          <w:lang w:val="en-GB"/>
        </w:rPr>
        <w:t>、无以上标准的，执行苏州金龙标准：</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4"/>
        <w:gridCol w:w="1947"/>
        <w:gridCol w:w="1941"/>
        <w:gridCol w:w="1935"/>
        <w:gridCol w:w="1706"/>
      </w:tblGrid>
      <w:tr w14:paraId="4E5DF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0" w:type="dxa"/>
            <w:vAlign w:val="center"/>
          </w:tcPr>
          <w:p w14:paraId="4A6D45EB">
            <w:pPr>
              <w:jc w:val="center"/>
              <w:rPr>
                <w:rFonts w:eastAsia="新宋体"/>
                <w:color w:val="000000" w:themeColor="text1"/>
                <w:szCs w:val="21"/>
                <w:lang w:val="en-GB"/>
              </w:rPr>
            </w:pPr>
            <w:r>
              <w:rPr>
                <w:rFonts w:hint="eastAsia" w:eastAsia="新宋体"/>
                <w:color w:val="000000" w:themeColor="text1"/>
                <w:szCs w:val="21"/>
                <w:lang w:val="en-GB"/>
              </w:rPr>
              <w:t>收费项目</w:t>
            </w:r>
          </w:p>
        </w:tc>
        <w:tc>
          <w:tcPr>
            <w:tcW w:w="1981" w:type="dxa"/>
            <w:vAlign w:val="center"/>
          </w:tcPr>
          <w:p w14:paraId="5D2028CD">
            <w:pPr>
              <w:jc w:val="center"/>
              <w:rPr>
                <w:rFonts w:eastAsia="新宋体"/>
                <w:color w:val="000000" w:themeColor="text1"/>
                <w:szCs w:val="21"/>
                <w:lang w:val="en-GB"/>
              </w:rPr>
            </w:pPr>
            <w:r>
              <w:rPr>
                <w:rFonts w:hint="eastAsia" w:eastAsia="新宋体"/>
                <w:color w:val="000000" w:themeColor="text1"/>
                <w:szCs w:val="21"/>
                <w:lang w:val="en-GB"/>
              </w:rPr>
              <w:t>故障车型</w:t>
            </w:r>
          </w:p>
        </w:tc>
        <w:tc>
          <w:tcPr>
            <w:tcW w:w="1981" w:type="dxa"/>
            <w:vAlign w:val="center"/>
          </w:tcPr>
          <w:p w14:paraId="35CA37E9">
            <w:pPr>
              <w:spacing w:line="240" w:lineRule="exact"/>
              <w:jc w:val="center"/>
              <w:rPr>
                <w:rFonts w:eastAsia="新宋体"/>
                <w:color w:val="000000" w:themeColor="text1"/>
                <w:szCs w:val="21"/>
                <w:lang w:val="en-GB"/>
              </w:rPr>
            </w:pPr>
            <w:r>
              <w:rPr>
                <w:rFonts w:hint="eastAsia" w:eastAsia="新宋体"/>
                <w:color w:val="000000" w:themeColor="text1"/>
                <w:szCs w:val="21"/>
                <w:lang w:val="en-GB"/>
              </w:rPr>
              <w:t>起步价（元/20公里以内）</w:t>
            </w:r>
          </w:p>
        </w:tc>
        <w:tc>
          <w:tcPr>
            <w:tcW w:w="1981" w:type="dxa"/>
            <w:vAlign w:val="center"/>
          </w:tcPr>
          <w:p w14:paraId="29CFADA7">
            <w:pPr>
              <w:spacing w:line="240" w:lineRule="exact"/>
              <w:jc w:val="center"/>
              <w:rPr>
                <w:rFonts w:eastAsia="新宋体"/>
                <w:color w:val="000000" w:themeColor="text1"/>
                <w:szCs w:val="21"/>
                <w:lang w:val="en-GB"/>
              </w:rPr>
            </w:pPr>
            <w:r>
              <w:rPr>
                <w:rFonts w:hint="eastAsia" w:eastAsia="新宋体"/>
                <w:color w:val="000000" w:themeColor="text1"/>
                <w:szCs w:val="21"/>
                <w:lang w:val="en-GB"/>
              </w:rPr>
              <w:t>车公里单价</w:t>
            </w:r>
          </w:p>
        </w:tc>
        <w:tc>
          <w:tcPr>
            <w:tcW w:w="1738" w:type="dxa"/>
            <w:vAlign w:val="center"/>
          </w:tcPr>
          <w:p w14:paraId="1F45A880">
            <w:pPr>
              <w:jc w:val="center"/>
              <w:rPr>
                <w:rFonts w:eastAsia="新宋体"/>
                <w:color w:val="000000" w:themeColor="text1"/>
                <w:szCs w:val="21"/>
                <w:lang w:val="en-GB"/>
              </w:rPr>
            </w:pPr>
            <w:r>
              <w:rPr>
                <w:rFonts w:hint="eastAsia" w:eastAsia="新宋体"/>
                <w:color w:val="000000" w:themeColor="text1"/>
                <w:szCs w:val="21"/>
                <w:lang w:val="en-GB"/>
              </w:rPr>
              <w:t>备注</w:t>
            </w:r>
          </w:p>
        </w:tc>
      </w:tr>
      <w:tr w14:paraId="450A7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0" w:type="dxa"/>
            <w:vMerge w:val="restart"/>
            <w:vAlign w:val="center"/>
          </w:tcPr>
          <w:p w14:paraId="071648C4">
            <w:pPr>
              <w:jc w:val="center"/>
              <w:rPr>
                <w:rFonts w:eastAsia="新宋体"/>
                <w:color w:val="000000" w:themeColor="text1"/>
                <w:szCs w:val="21"/>
                <w:lang w:val="en-GB"/>
              </w:rPr>
            </w:pPr>
            <w:r>
              <w:rPr>
                <w:rFonts w:hint="eastAsia" w:eastAsia="新宋体"/>
                <w:color w:val="000000" w:themeColor="text1"/>
                <w:szCs w:val="21"/>
                <w:lang w:val="en-GB"/>
              </w:rPr>
              <w:t>拖</w:t>
            </w:r>
          </w:p>
          <w:p w14:paraId="7CF24D1C">
            <w:pPr>
              <w:jc w:val="center"/>
              <w:rPr>
                <w:rFonts w:eastAsia="新宋体"/>
                <w:color w:val="000000" w:themeColor="text1"/>
                <w:szCs w:val="21"/>
                <w:lang w:val="en-GB"/>
              </w:rPr>
            </w:pPr>
            <w:r>
              <w:rPr>
                <w:rFonts w:hint="eastAsia" w:eastAsia="新宋体"/>
                <w:color w:val="000000" w:themeColor="text1"/>
                <w:szCs w:val="21"/>
                <w:lang w:val="en-GB"/>
              </w:rPr>
              <w:t>车</w:t>
            </w:r>
          </w:p>
          <w:p w14:paraId="76851711">
            <w:pPr>
              <w:jc w:val="center"/>
              <w:rPr>
                <w:rFonts w:eastAsia="新宋体"/>
                <w:color w:val="000000" w:themeColor="text1"/>
                <w:szCs w:val="21"/>
                <w:lang w:val="en-GB"/>
              </w:rPr>
            </w:pPr>
            <w:r>
              <w:rPr>
                <w:rFonts w:hint="eastAsia" w:eastAsia="新宋体"/>
                <w:color w:val="000000" w:themeColor="text1"/>
                <w:szCs w:val="21"/>
                <w:lang w:val="en-GB"/>
              </w:rPr>
              <w:t>作</w:t>
            </w:r>
          </w:p>
          <w:p w14:paraId="6AD2D698">
            <w:pPr>
              <w:jc w:val="center"/>
              <w:rPr>
                <w:rFonts w:eastAsia="新宋体"/>
                <w:color w:val="000000" w:themeColor="text1"/>
                <w:szCs w:val="21"/>
                <w:lang w:val="en-GB"/>
              </w:rPr>
            </w:pPr>
            <w:r>
              <w:rPr>
                <w:rFonts w:hint="eastAsia" w:eastAsia="新宋体"/>
                <w:color w:val="000000" w:themeColor="text1"/>
                <w:szCs w:val="21"/>
                <w:lang w:val="en-GB"/>
              </w:rPr>
              <w:t>业</w:t>
            </w:r>
          </w:p>
          <w:p w14:paraId="357F62F4">
            <w:pPr>
              <w:jc w:val="center"/>
              <w:rPr>
                <w:rFonts w:eastAsia="新宋体"/>
                <w:color w:val="000000" w:themeColor="text1"/>
                <w:szCs w:val="21"/>
                <w:lang w:val="en-GB"/>
              </w:rPr>
            </w:pPr>
            <w:r>
              <w:rPr>
                <w:rFonts w:hint="eastAsia" w:eastAsia="新宋体"/>
                <w:color w:val="000000" w:themeColor="text1"/>
                <w:szCs w:val="21"/>
                <w:lang w:val="en-GB"/>
              </w:rPr>
              <w:t>服</w:t>
            </w:r>
          </w:p>
          <w:p w14:paraId="73040D78">
            <w:pPr>
              <w:jc w:val="center"/>
              <w:rPr>
                <w:rFonts w:eastAsia="新宋体"/>
                <w:color w:val="000000" w:themeColor="text1"/>
                <w:szCs w:val="21"/>
                <w:lang w:val="en-GB"/>
              </w:rPr>
            </w:pPr>
            <w:r>
              <w:rPr>
                <w:rFonts w:hint="eastAsia" w:eastAsia="新宋体"/>
                <w:color w:val="000000" w:themeColor="text1"/>
                <w:szCs w:val="21"/>
                <w:lang w:val="en-GB"/>
              </w:rPr>
              <w:t>务</w:t>
            </w:r>
          </w:p>
          <w:p w14:paraId="7D85A4D5">
            <w:pPr>
              <w:jc w:val="center"/>
              <w:rPr>
                <w:rFonts w:eastAsia="新宋体"/>
                <w:color w:val="000000" w:themeColor="text1"/>
                <w:szCs w:val="21"/>
                <w:lang w:val="en-GB"/>
              </w:rPr>
            </w:pPr>
            <w:r>
              <w:rPr>
                <w:rFonts w:hint="eastAsia" w:eastAsia="新宋体"/>
                <w:color w:val="000000" w:themeColor="text1"/>
                <w:szCs w:val="21"/>
                <w:lang w:val="en-GB"/>
              </w:rPr>
              <w:t>费</w:t>
            </w:r>
          </w:p>
        </w:tc>
        <w:tc>
          <w:tcPr>
            <w:tcW w:w="1981" w:type="dxa"/>
            <w:vAlign w:val="center"/>
          </w:tcPr>
          <w:p w14:paraId="0B11837B">
            <w:pPr>
              <w:jc w:val="center"/>
              <w:rPr>
                <w:rFonts w:eastAsia="新宋体"/>
                <w:color w:val="000000" w:themeColor="text1"/>
                <w:szCs w:val="21"/>
                <w:lang w:val="en-GB"/>
              </w:rPr>
            </w:pPr>
            <w:r>
              <w:rPr>
                <w:rFonts w:hint="eastAsia" w:eastAsia="新宋体"/>
                <w:color w:val="000000" w:themeColor="text1"/>
                <w:szCs w:val="21"/>
                <w:lang w:val="en-GB"/>
              </w:rPr>
              <w:t>7座以下（含）</w:t>
            </w:r>
          </w:p>
        </w:tc>
        <w:tc>
          <w:tcPr>
            <w:tcW w:w="1981" w:type="dxa"/>
            <w:vAlign w:val="center"/>
          </w:tcPr>
          <w:p w14:paraId="39EDC227">
            <w:pPr>
              <w:jc w:val="center"/>
              <w:rPr>
                <w:rFonts w:eastAsia="新宋体"/>
                <w:color w:val="000000" w:themeColor="text1"/>
                <w:szCs w:val="21"/>
                <w:lang w:val="en-GB"/>
              </w:rPr>
            </w:pPr>
            <w:r>
              <w:rPr>
                <w:rFonts w:hint="eastAsia" w:eastAsia="新宋体"/>
                <w:color w:val="000000" w:themeColor="text1"/>
                <w:szCs w:val="21"/>
                <w:lang w:val="en-GB"/>
              </w:rPr>
              <w:t>250</w:t>
            </w:r>
          </w:p>
        </w:tc>
        <w:tc>
          <w:tcPr>
            <w:tcW w:w="1981" w:type="dxa"/>
            <w:vAlign w:val="center"/>
          </w:tcPr>
          <w:p w14:paraId="713E1C0B">
            <w:pPr>
              <w:jc w:val="center"/>
              <w:rPr>
                <w:rFonts w:eastAsia="新宋体"/>
                <w:color w:val="000000" w:themeColor="text1"/>
                <w:szCs w:val="21"/>
                <w:lang w:val="en-GB"/>
              </w:rPr>
            </w:pPr>
            <w:r>
              <w:rPr>
                <w:rFonts w:hint="eastAsia" w:eastAsia="新宋体"/>
                <w:color w:val="000000" w:themeColor="text1"/>
                <w:szCs w:val="21"/>
                <w:lang w:val="en-GB"/>
              </w:rPr>
              <w:t>10</w:t>
            </w:r>
          </w:p>
        </w:tc>
        <w:tc>
          <w:tcPr>
            <w:tcW w:w="1738" w:type="dxa"/>
            <w:vMerge w:val="restart"/>
          </w:tcPr>
          <w:p w14:paraId="76C6D5F1">
            <w:pPr>
              <w:pStyle w:val="22"/>
              <w:autoSpaceDE w:val="0"/>
              <w:autoSpaceDN w:val="0"/>
              <w:adjustRightInd w:val="0"/>
              <w:spacing w:line="360" w:lineRule="auto"/>
              <w:ind w:firstLine="0" w:firstLineChars="0"/>
              <w:jc w:val="left"/>
              <w:rPr>
                <w:rFonts w:ascii="Times New Roman" w:hAnsi="Times New Roman" w:eastAsia="新宋体"/>
                <w:color w:val="000000" w:themeColor="text1"/>
                <w:szCs w:val="21"/>
                <w:lang w:val="en-GB"/>
              </w:rPr>
            </w:pPr>
            <w:r>
              <w:rPr>
                <w:rFonts w:hint="eastAsia" w:ascii="Times New Roman" w:hAnsi="Times New Roman" w:eastAsia="新宋体"/>
                <w:color w:val="000000" w:themeColor="text1"/>
                <w:szCs w:val="21"/>
                <w:lang w:val="en-GB"/>
              </w:rPr>
              <w:t>拖车费申报总额最高不得超1500元；此费用含拖车时发生过路过桥费</w:t>
            </w:r>
          </w:p>
        </w:tc>
      </w:tr>
      <w:tr w14:paraId="242D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0" w:type="dxa"/>
            <w:vMerge w:val="continue"/>
          </w:tcPr>
          <w:p w14:paraId="3DEFCC65">
            <w:pPr>
              <w:spacing w:line="220" w:lineRule="exact"/>
              <w:jc w:val="center"/>
              <w:rPr>
                <w:rFonts w:eastAsia="新宋体"/>
                <w:color w:val="000000" w:themeColor="text1"/>
                <w:szCs w:val="21"/>
                <w:lang w:val="en-GB"/>
              </w:rPr>
            </w:pPr>
          </w:p>
        </w:tc>
        <w:tc>
          <w:tcPr>
            <w:tcW w:w="1981" w:type="dxa"/>
            <w:vAlign w:val="center"/>
          </w:tcPr>
          <w:p w14:paraId="3381227F">
            <w:pPr>
              <w:jc w:val="center"/>
              <w:rPr>
                <w:rFonts w:eastAsia="新宋体"/>
                <w:color w:val="000000" w:themeColor="text1"/>
                <w:szCs w:val="21"/>
                <w:lang w:val="en-GB"/>
              </w:rPr>
            </w:pPr>
            <w:r>
              <w:rPr>
                <w:rFonts w:hint="eastAsia" w:eastAsia="新宋体"/>
                <w:color w:val="000000" w:themeColor="text1"/>
                <w:szCs w:val="21"/>
                <w:lang w:val="en-GB"/>
              </w:rPr>
              <w:t>8</w:t>
            </w:r>
            <w:r>
              <w:rPr>
                <w:rFonts w:eastAsia="新宋体"/>
                <w:color w:val="000000" w:themeColor="text1"/>
                <w:szCs w:val="21"/>
                <w:lang w:val="en-GB"/>
              </w:rPr>
              <w:t>—</w:t>
            </w:r>
            <w:r>
              <w:rPr>
                <w:rFonts w:hint="eastAsia" w:eastAsia="新宋体"/>
                <w:color w:val="000000" w:themeColor="text1"/>
                <w:szCs w:val="21"/>
                <w:lang w:val="en-GB"/>
              </w:rPr>
              <w:t>19座（含）</w:t>
            </w:r>
          </w:p>
        </w:tc>
        <w:tc>
          <w:tcPr>
            <w:tcW w:w="1981" w:type="dxa"/>
            <w:vAlign w:val="center"/>
          </w:tcPr>
          <w:p w14:paraId="7C1539E0">
            <w:pPr>
              <w:jc w:val="center"/>
              <w:rPr>
                <w:rFonts w:eastAsia="新宋体"/>
                <w:color w:val="000000" w:themeColor="text1"/>
                <w:szCs w:val="21"/>
                <w:lang w:val="en-GB"/>
              </w:rPr>
            </w:pPr>
            <w:r>
              <w:rPr>
                <w:rFonts w:hint="eastAsia" w:eastAsia="新宋体"/>
                <w:color w:val="000000" w:themeColor="text1"/>
                <w:szCs w:val="21"/>
                <w:lang w:val="en-GB"/>
              </w:rPr>
              <w:t>300</w:t>
            </w:r>
          </w:p>
        </w:tc>
        <w:tc>
          <w:tcPr>
            <w:tcW w:w="1981" w:type="dxa"/>
            <w:vAlign w:val="center"/>
          </w:tcPr>
          <w:p w14:paraId="555A3B1D">
            <w:pPr>
              <w:jc w:val="center"/>
              <w:rPr>
                <w:rFonts w:eastAsia="新宋体"/>
                <w:color w:val="000000" w:themeColor="text1"/>
                <w:szCs w:val="21"/>
                <w:lang w:val="en-GB"/>
              </w:rPr>
            </w:pPr>
            <w:r>
              <w:rPr>
                <w:rFonts w:hint="eastAsia" w:eastAsia="新宋体"/>
                <w:color w:val="000000" w:themeColor="text1"/>
                <w:szCs w:val="21"/>
                <w:lang w:val="en-GB"/>
              </w:rPr>
              <w:t>10</w:t>
            </w:r>
          </w:p>
        </w:tc>
        <w:tc>
          <w:tcPr>
            <w:tcW w:w="1738" w:type="dxa"/>
            <w:vMerge w:val="continue"/>
          </w:tcPr>
          <w:p w14:paraId="019AA161">
            <w:pPr>
              <w:pStyle w:val="22"/>
              <w:autoSpaceDE w:val="0"/>
              <w:autoSpaceDN w:val="0"/>
              <w:adjustRightInd w:val="0"/>
              <w:spacing w:line="360" w:lineRule="auto"/>
              <w:ind w:firstLine="0" w:firstLineChars="0"/>
              <w:jc w:val="left"/>
              <w:rPr>
                <w:rFonts w:ascii="Times New Roman" w:hAnsi="Times New Roman" w:eastAsia="新宋体"/>
                <w:color w:val="000000" w:themeColor="text1"/>
                <w:szCs w:val="21"/>
                <w:lang w:val="en-GB"/>
              </w:rPr>
            </w:pPr>
          </w:p>
        </w:tc>
      </w:tr>
      <w:tr w14:paraId="3CDD2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0" w:type="dxa"/>
            <w:vMerge w:val="continue"/>
          </w:tcPr>
          <w:p w14:paraId="08012141">
            <w:pPr>
              <w:spacing w:line="220" w:lineRule="exact"/>
              <w:jc w:val="center"/>
              <w:rPr>
                <w:rFonts w:eastAsia="新宋体"/>
                <w:color w:val="000000" w:themeColor="text1"/>
                <w:szCs w:val="21"/>
                <w:lang w:val="en-GB"/>
              </w:rPr>
            </w:pPr>
          </w:p>
        </w:tc>
        <w:tc>
          <w:tcPr>
            <w:tcW w:w="1981" w:type="dxa"/>
            <w:vAlign w:val="center"/>
          </w:tcPr>
          <w:p w14:paraId="2E656DFA">
            <w:pPr>
              <w:jc w:val="center"/>
              <w:rPr>
                <w:rFonts w:eastAsia="新宋体"/>
                <w:color w:val="000000" w:themeColor="text1"/>
                <w:szCs w:val="21"/>
                <w:lang w:val="en-GB"/>
              </w:rPr>
            </w:pPr>
            <w:r>
              <w:rPr>
                <w:rFonts w:hint="eastAsia" w:eastAsia="新宋体"/>
                <w:color w:val="000000" w:themeColor="text1"/>
                <w:szCs w:val="21"/>
                <w:lang w:val="en-GB"/>
              </w:rPr>
              <w:t>20座</w:t>
            </w:r>
            <w:r>
              <w:rPr>
                <w:rFonts w:eastAsia="新宋体"/>
                <w:color w:val="000000" w:themeColor="text1"/>
                <w:szCs w:val="21"/>
                <w:lang w:val="en-GB"/>
              </w:rPr>
              <w:t>—</w:t>
            </w:r>
            <w:r>
              <w:rPr>
                <w:rFonts w:hint="eastAsia" w:eastAsia="新宋体"/>
                <w:color w:val="000000" w:themeColor="text1"/>
                <w:szCs w:val="21"/>
                <w:lang w:val="en-GB"/>
              </w:rPr>
              <w:t>39座（含）</w:t>
            </w:r>
          </w:p>
        </w:tc>
        <w:tc>
          <w:tcPr>
            <w:tcW w:w="1981" w:type="dxa"/>
            <w:vAlign w:val="center"/>
          </w:tcPr>
          <w:p w14:paraId="0438EA3A">
            <w:pPr>
              <w:jc w:val="center"/>
              <w:rPr>
                <w:rFonts w:eastAsia="新宋体"/>
                <w:color w:val="000000" w:themeColor="text1"/>
                <w:szCs w:val="21"/>
                <w:lang w:val="en-GB"/>
              </w:rPr>
            </w:pPr>
            <w:r>
              <w:rPr>
                <w:rFonts w:hint="eastAsia" w:eastAsia="新宋体"/>
                <w:color w:val="000000" w:themeColor="text1"/>
                <w:szCs w:val="21"/>
                <w:lang w:val="en-GB"/>
              </w:rPr>
              <w:t>350</w:t>
            </w:r>
          </w:p>
        </w:tc>
        <w:tc>
          <w:tcPr>
            <w:tcW w:w="1981" w:type="dxa"/>
            <w:vAlign w:val="center"/>
          </w:tcPr>
          <w:p w14:paraId="167E5919">
            <w:pPr>
              <w:jc w:val="center"/>
              <w:rPr>
                <w:rFonts w:eastAsia="新宋体"/>
                <w:color w:val="000000" w:themeColor="text1"/>
                <w:szCs w:val="21"/>
                <w:lang w:val="en-GB"/>
              </w:rPr>
            </w:pPr>
            <w:r>
              <w:rPr>
                <w:rFonts w:hint="eastAsia" w:eastAsia="新宋体"/>
                <w:color w:val="000000" w:themeColor="text1"/>
                <w:szCs w:val="21"/>
                <w:lang w:val="en-GB"/>
              </w:rPr>
              <w:t>15</w:t>
            </w:r>
          </w:p>
        </w:tc>
        <w:tc>
          <w:tcPr>
            <w:tcW w:w="1738" w:type="dxa"/>
            <w:vMerge w:val="continue"/>
          </w:tcPr>
          <w:p w14:paraId="082CE1C0">
            <w:pPr>
              <w:pStyle w:val="22"/>
              <w:autoSpaceDE w:val="0"/>
              <w:autoSpaceDN w:val="0"/>
              <w:adjustRightInd w:val="0"/>
              <w:spacing w:line="360" w:lineRule="auto"/>
              <w:ind w:firstLine="0" w:firstLineChars="0"/>
              <w:jc w:val="left"/>
              <w:rPr>
                <w:rFonts w:ascii="Times New Roman" w:hAnsi="Times New Roman" w:eastAsia="新宋体"/>
                <w:color w:val="000000" w:themeColor="text1"/>
                <w:szCs w:val="21"/>
                <w:lang w:val="en-GB"/>
              </w:rPr>
            </w:pPr>
          </w:p>
        </w:tc>
      </w:tr>
      <w:tr w14:paraId="42EE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80" w:type="dxa"/>
            <w:vMerge w:val="continue"/>
          </w:tcPr>
          <w:p w14:paraId="0C245FF1">
            <w:pPr>
              <w:spacing w:line="220" w:lineRule="exact"/>
              <w:jc w:val="center"/>
              <w:rPr>
                <w:rFonts w:eastAsia="新宋体"/>
                <w:color w:val="000000" w:themeColor="text1"/>
                <w:szCs w:val="21"/>
                <w:lang w:val="en-GB"/>
              </w:rPr>
            </w:pPr>
          </w:p>
        </w:tc>
        <w:tc>
          <w:tcPr>
            <w:tcW w:w="1981" w:type="dxa"/>
            <w:vAlign w:val="center"/>
          </w:tcPr>
          <w:p w14:paraId="6A81584C">
            <w:pPr>
              <w:jc w:val="center"/>
              <w:rPr>
                <w:rFonts w:eastAsia="新宋体"/>
                <w:color w:val="000000" w:themeColor="text1"/>
                <w:szCs w:val="21"/>
                <w:lang w:val="en-GB"/>
              </w:rPr>
            </w:pPr>
            <w:r>
              <w:rPr>
                <w:rFonts w:hint="eastAsia" w:eastAsia="新宋体"/>
                <w:color w:val="000000" w:themeColor="text1"/>
                <w:szCs w:val="21"/>
                <w:lang w:val="en-GB"/>
              </w:rPr>
              <w:t>＞40座</w:t>
            </w:r>
          </w:p>
        </w:tc>
        <w:tc>
          <w:tcPr>
            <w:tcW w:w="1981" w:type="dxa"/>
            <w:vAlign w:val="center"/>
          </w:tcPr>
          <w:p w14:paraId="7F253AD7">
            <w:pPr>
              <w:jc w:val="center"/>
              <w:rPr>
                <w:rFonts w:eastAsia="新宋体"/>
                <w:color w:val="000000" w:themeColor="text1"/>
                <w:szCs w:val="21"/>
                <w:lang w:val="en-GB"/>
              </w:rPr>
            </w:pPr>
            <w:r>
              <w:rPr>
                <w:rFonts w:hint="eastAsia" w:eastAsia="新宋体"/>
                <w:color w:val="000000" w:themeColor="text1"/>
                <w:szCs w:val="21"/>
                <w:lang w:val="en-GB"/>
              </w:rPr>
              <w:t>400</w:t>
            </w:r>
          </w:p>
        </w:tc>
        <w:tc>
          <w:tcPr>
            <w:tcW w:w="1981" w:type="dxa"/>
            <w:vAlign w:val="center"/>
          </w:tcPr>
          <w:p w14:paraId="524F4523">
            <w:pPr>
              <w:jc w:val="center"/>
              <w:rPr>
                <w:rFonts w:eastAsia="新宋体"/>
                <w:color w:val="000000" w:themeColor="text1"/>
                <w:szCs w:val="21"/>
                <w:lang w:val="en-GB"/>
              </w:rPr>
            </w:pPr>
            <w:r>
              <w:rPr>
                <w:rFonts w:hint="eastAsia" w:eastAsia="新宋体"/>
                <w:color w:val="000000" w:themeColor="text1"/>
                <w:szCs w:val="21"/>
                <w:lang w:val="en-GB"/>
              </w:rPr>
              <w:t>20</w:t>
            </w:r>
          </w:p>
        </w:tc>
        <w:tc>
          <w:tcPr>
            <w:tcW w:w="1738" w:type="dxa"/>
            <w:vMerge w:val="continue"/>
          </w:tcPr>
          <w:p w14:paraId="461C3372">
            <w:pPr>
              <w:pStyle w:val="22"/>
              <w:autoSpaceDE w:val="0"/>
              <w:autoSpaceDN w:val="0"/>
              <w:adjustRightInd w:val="0"/>
              <w:spacing w:line="360" w:lineRule="auto"/>
              <w:ind w:firstLine="0" w:firstLineChars="0"/>
              <w:jc w:val="left"/>
              <w:rPr>
                <w:rFonts w:ascii="Times New Roman" w:hAnsi="Times New Roman" w:eastAsia="新宋体"/>
                <w:color w:val="000000" w:themeColor="text1"/>
                <w:szCs w:val="21"/>
                <w:lang w:val="en-GB"/>
              </w:rPr>
            </w:pPr>
          </w:p>
        </w:tc>
      </w:tr>
    </w:tbl>
    <w:p w14:paraId="7D15340A">
      <w:pPr>
        <w:autoSpaceDE w:val="0"/>
        <w:autoSpaceDN w:val="0"/>
        <w:adjustRightInd w:val="0"/>
        <w:snapToGrid w:val="0"/>
        <w:spacing w:before="240" w:line="360" w:lineRule="auto"/>
        <w:jc w:val="left"/>
        <w:rPr>
          <w:rFonts w:eastAsia="新宋体"/>
          <w:color w:val="000000" w:themeColor="text1"/>
          <w:szCs w:val="21"/>
          <w:lang w:val="en-GB"/>
        </w:rPr>
      </w:pPr>
      <w:r>
        <w:rPr>
          <w:rFonts w:eastAsia="新宋体"/>
          <w:color w:val="000000" w:themeColor="text1"/>
          <w:szCs w:val="21"/>
          <w:lang w:val="en-GB"/>
        </w:rPr>
        <w:t xml:space="preserve">5.3.7.2 </w:t>
      </w:r>
      <w:r>
        <w:rPr>
          <w:rFonts w:hint="eastAsia" w:eastAsia="新宋体"/>
          <w:color w:val="000000" w:themeColor="text1"/>
          <w:szCs w:val="21"/>
          <w:lang w:val="en-GB"/>
        </w:rPr>
        <w:t>叉车费</w:t>
      </w:r>
    </w:p>
    <w:p w14:paraId="3E6C050A">
      <w:pPr>
        <w:autoSpaceDE w:val="0"/>
        <w:autoSpaceDN w:val="0"/>
        <w:adjustRightInd w:val="0"/>
        <w:spacing w:line="360" w:lineRule="auto"/>
        <w:jc w:val="left"/>
        <w:rPr>
          <w:rFonts w:eastAsia="新宋体"/>
          <w:color w:val="000000" w:themeColor="text1"/>
          <w:szCs w:val="21"/>
          <w:lang w:val="en-GB"/>
        </w:rPr>
      </w:pPr>
      <w:r>
        <w:rPr>
          <w:rFonts w:hint="eastAsia" w:eastAsia="新宋体"/>
          <w:color w:val="000000" w:themeColor="text1"/>
          <w:szCs w:val="21"/>
          <w:lang w:val="en-GB"/>
        </w:rPr>
        <w:t>外出抢修时临时租用叉车最高2</w:t>
      </w:r>
      <w:r>
        <w:rPr>
          <w:rFonts w:eastAsia="新宋体"/>
          <w:color w:val="000000" w:themeColor="text1"/>
          <w:szCs w:val="21"/>
          <w:lang w:val="en-GB"/>
        </w:rPr>
        <w:t>00</w:t>
      </w:r>
      <w:r>
        <w:rPr>
          <w:rFonts w:hint="eastAsia" w:eastAsia="新宋体"/>
          <w:color w:val="000000" w:themeColor="text1"/>
          <w:szCs w:val="21"/>
          <w:lang w:val="en-GB"/>
        </w:rPr>
        <w:t>元。</w:t>
      </w:r>
    </w:p>
    <w:p w14:paraId="0219A5C6">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4</w:t>
      </w:r>
      <w:r>
        <w:rPr>
          <w:rFonts w:ascii="Times New Roman" w:eastAsia="新宋体"/>
          <w:color w:val="000000" w:themeColor="text1"/>
          <w:sz w:val="21"/>
          <w:szCs w:val="21"/>
        </w:rPr>
        <w:t>服务费用的结算，主要以&lt;二次理赔单&gt;为依据，特殊事项个案个结。</w:t>
      </w:r>
    </w:p>
    <w:p w14:paraId="2CF94B16">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5</w:t>
      </w:r>
      <w:r>
        <w:rPr>
          <w:rFonts w:ascii="Times New Roman" w:eastAsia="新宋体"/>
          <w:color w:val="000000" w:themeColor="text1"/>
          <w:sz w:val="21"/>
          <w:szCs w:val="21"/>
        </w:rPr>
        <w:t>乙方直接发件的，甲方向乙方收取相应的费用，按甲方保修价与乙方供货价的差价的60%结算，主要用于支付给甲方特约服务站的储运、日常运营管理等相关费用。</w:t>
      </w:r>
    </w:p>
    <w:p w14:paraId="72C260A3">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6</w:t>
      </w:r>
      <w:r>
        <w:rPr>
          <w:rFonts w:ascii="Times New Roman" w:eastAsia="新宋体"/>
          <w:color w:val="000000" w:themeColor="text1"/>
          <w:sz w:val="21"/>
          <w:szCs w:val="21"/>
        </w:rPr>
        <w:t xml:space="preserve"> 因乙方未及时到甲方旧件库提取旧件的，甲方向乙方收取相应的旧件管理费用，按保修材料价的3%结算。逾期不提取旧件的，甲方直接清理。</w:t>
      </w:r>
    </w:p>
    <w:p w14:paraId="26022F4C">
      <w:pPr>
        <w:pStyle w:val="3"/>
        <w:snapToGrid w:val="0"/>
        <w:ind w:firstLine="0"/>
        <w:rPr>
          <w:rFonts w:hint="default" w:ascii="Times New Roman" w:eastAsia="新宋体"/>
          <w:color w:val="000000" w:themeColor="text1"/>
          <w:sz w:val="21"/>
          <w:szCs w:val="21"/>
        </w:rPr>
      </w:pPr>
      <w:r>
        <w:rPr>
          <w:rFonts w:hint="default" w:ascii="Times New Roman" w:eastAsia="新宋体"/>
          <w:color w:val="000000" w:themeColor="text1"/>
          <w:sz w:val="21"/>
          <w:szCs w:val="21"/>
        </w:rPr>
        <w:t>5.7 甲方已提供</w:t>
      </w:r>
      <w:r>
        <w:rPr>
          <w:rFonts w:ascii="Times New Roman" w:eastAsia="新宋体"/>
          <w:color w:val="000000" w:themeColor="text1"/>
          <w:sz w:val="21"/>
          <w:szCs w:val="21"/>
        </w:rPr>
        <w:t>&lt;保修单&gt;、&lt;维保服务</w:t>
      </w:r>
      <w:r>
        <w:rPr>
          <w:rFonts w:hint="default" w:ascii="Times New Roman" w:eastAsia="新宋体"/>
          <w:color w:val="000000" w:themeColor="text1"/>
          <w:sz w:val="21"/>
          <w:szCs w:val="21"/>
        </w:rPr>
        <w:t>单</w:t>
      </w:r>
      <w:r>
        <w:rPr>
          <w:rFonts w:ascii="Times New Roman" w:eastAsia="新宋体"/>
          <w:color w:val="000000" w:themeColor="text1"/>
          <w:sz w:val="21"/>
          <w:szCs w:val="21"/>
        </w:rPr>
        <w:t>&gt;以及&lt;二次理赔单&gt;</w:t>
      </w:r>
      <w:r>
        <w:rPr>
          <w:rFonts w:hint="default" w:ascii="Times New Roman" w:eastAsia="新宋体"/>
          <w:color w:val="000000" w:themeColor="text1"/>
          <w:sz w:val="21"/>
          <w:szCs w:val="21"/>
        </w:rPr>
        <w:t>在</w:t>
      </w:r>
      <w:r>
        <w:rPr>
          <w:rFonts w:ascii="Times New Roman" w:eastAsia="新宋体"/>
          <w:color w:val="000000" w:themeColor="text1"/>
          <w:sz w:val="21"/>
          <w:szCs w:val="21"/>
        </w:rPr>
        <w:t>『</w:t>
      </w:r>
      <w:r>
        <w:rPr>
          <w:rFonts w:hint="default" w:ascii="Times New Roman" w:eastAsia="新宋体"/>
          <w:color w:val="000000" w:themeColor="text1"/>
          <w:sz w:val="21"/>
          <w:szCs w:val="21"/>
        </w:rPr>
        <w:t>供应商管理网</w:t>
      </w:r>
      <w:r>
        <w:rPr>
          <w:rFonts w:ascii="Times New Roman" w:eastAsia="新宋体"/>
          <w:color w:val="000000" w:themeColor="text1"/>
          <w:sz w:val="21"/>
          <w:szCs w:val="21"/>
        </w:rPr>
        <w:t>』</w:t>
      </w:r>
      <w:r>
        <w:rPr>
          <w:rFonts w:hint="default" w:ascii="Times New Roman" w:eastAsia="新宋体"/>
          <w:color w:val="000000" w:themeColor="text1"/>
          <w:sz w:val="21"/>
          <w:szCs w:val="21"/>
        </w:rPr>
        <w:t>平台上</w:t>
      </w:r>
      <w:r>
        <w:rPr>
          <w:rFonts w:ascii="Times New Roman" w:eastAsia="新宋体"/>
          <w:color w:val="000000" w:themeColor="text1"/>
          <w:sz w:val="21"/>
          <w:szCs w:val="21"/>
        </w:rPr>
        <w:t>的</w:t>
      </w:r>
      <w:r>
        <w:rPr>
          <w:rFonts w:hint="default" w:ascii="Times New Roman" w:eastAsia="新宋体"/>
          <w:color w:val="000000" w:themeColor="text1"/>
          <w:sz w:val="21"/>
          <w:szCs w:val="21"/>
        </w:rPr>
        <w:t>查询功能，乙方需要</w:t>
      </w:r>
      <w:r>
        <w:rPr>
          <w:rFonts w:ascii="Times New Roman" w:eastAsia="新宋体"/>
          <w:color w:val="000000" w:themeColor="text1"/>
          <w:sz w:val="21"/>
          <w:szCs w:val="21"/>
        </w:rPr>
        <w:t>及时</w:t>
      </w:r>
      <w:r>
        <w:rPr>
          <w:rFonts w:hint="default" w:ascii="Times New Roman" w:eastAsia="新宋体"/>
          <w:color w:val="000000" w:themeColor="text1"/>
          <w:sz w:val="21"/>
          <w:szCs w:val="21"/>
        </w:rPr>
        <w:t>在网上查收审核</w:t>
      </w:r>
      <w:r>
        <w:rPr>
          <w:rFonts w:ascii="Times New Roman" w:eastAsia="新宋体"/>
          <w:color w:val="000000" w:themeColor="text1"/>
          <w:sz w:val="21"/>
          <w:szCs w:val="21"/>
        </w:rPr>
        <w:t>。</w:t>
      </w:r>
      <w:r>
        <w:rPr>
          <w:rFonts w:hint="default" w:ascii="Times New Roman" w:eastAsia="新宋体"/>
          <w:color w:val="000000" w:themeColor="text1"/>
          <w:sz w:val="21"/>
          <w:szCs w:val="21"/>
        </w:rPr>
        <w:t>若</w:t>
      </w:r>
      <w:r>
        <w:rPr>
          <w:rFonts w:ascii="Times New Roman" w:eastAsia="新宋体"/>
          <w:color w:val="000000" w:themeColor="text1"/>
          <w:sz w:val="21"/>
          <w:szCs w:val="21"/>
        </w:rPr>
        <w:t>十个</w:t>
      </w:r>
      <w:r>
        <w:rPr>
          <w:rFonts w:hint="default" w:ascii="Times New Roman" w:eastAsia="新宋体"/>
          <w:color w:val="000000" w:themeColor="text1"/>
          <w:sz w:val="21"/>
          <w:szCs w:val="21"/>
        </w:rPr>
        <w:t>工作日</w:t>
      </w:r>
      <w:r>
        <w:rPr>
          <w:rFonts w:ascii="Times New Roman" w:eastAsia="新宋体"/>
          <w:color w:val="000000" w:themeColor="text1"/>
          <w:sz w:val="21"/>
          <w:szCs w:val="21"/>
        </w:rPr>
        <w:t>内乙方</w:t>
      </w:r>
      <w:r>
        <w:rPr>
          <w:rFonts w:hint="default" w:ascii="Times New Roman" w:eastAsia="新宋体"/>
          <w:color w:val="000000" w:themeColor="text1"/>
          <w:sz w:val="21"/>
          <w:szCs w:val="21"/>
        </w:rPr>
        <w:t>不做反馈，</w:t>
      </w:r>
      <w:r>
        <w:rPr>
          <w:rFonts w:ascii="Times New Roman" w:eastAsia="新宋体"/>
          <w:color w:val="000000" w:themeColor="text1"/>
          <w:sz w:val="21"/>
          <w:szCs w:val="21"/>
        </w:rPr>
        <w:t>则甲方</w:t>
      </w:r>
      <w:r>
        <w:rPr>
          <w:rFonts w:hint="default" w:ascii="Times New Roman" w:eastAsia="新宋体"/>
          <w:color w:val="000000" w:themeColor="text1"/>
          <w:sz w:val="21"/>
          <w:szCs w:val="21"/>
        </w:rPr>
        <w:t>默认</w:t>
      </w:r>
      <w:r>
        <w:rPr>
          <w:rFonts w:ascii="Times New Roman" w:eastAsia="新宋体"/>
          <w:color w:val="000000" w:themeColor="text1"/>
          <w:sz w:val="21"/>
          <w:szCs w:val="21"/>
        </w:rPr>
        <w:t>乙方对</w:t>
      </w:r>
      <w:r>
        <w:rPr>
          <w:rFonts w:hint="default" w:ascii="Times New Roman" w:eastAsia="新宋体"/>
          <w:color w:val="000000" w:themeColor="text1"/>
          <w:sz w:val="21"/>
          <w:szCs w:val="21"/>
        </w:rPr>
        <w:t>所有</w:t>
      </w:r>
      <w:r>
        <w:rPr>
          <w:rFonts w:ascii="Times New Roman" w:eastAsia="新宋体"/>
          <w:color w:val="000000" w:themeColor="text1"/>
          <w:sz w:val="21"/>
          <w:szCs w:val="21"/>
        </w:rPr>
        <w:t>单据</w:t>
      </w:r>
      <w:r>
        <w:rPr>
          <w:rFonts w:hint="default" w:ascii="Times New Roman" w:eastAsia="新宋体"/>
          <w:color w:val="000000" w:themeColor="text1"/>
          <w:sz w:val="21"/>
          <w:szCs w:val="21"/>
        </w:rPr>
        <w:t>无异议，</w:t>
      </w:r>
      <w:r>
        <w:rPr>
          <w:rFonts w:ascii="Times New Roman" w:eastAsia="新宋体"/>
          <w:color w:val="000000" w:themeColor="text1"/>
          <w:sz w:val="21"/>
          <w:szCs w:val="21"/>
        </w:rPr>
        <w:t>直接</w:t>
      </w:r>
      <w:r>
        <w:rPr>
          <w:rFonts w:hint="default" w:ascii="Times New Roman" w:eastAsia="新宋体"/>
          <w:color w:val="000000" w:themeColor="text1"/>
          <w:sz w:val="21"/>
          <w:szCs w:val="21"/>
        </w:rPr>
        <w:t>进入</w:t>
      </w:r>
      <w:r>
        <w:rPr>
          <w:rFonts w:ascii="Times New Roman" w:eastAsia="新宋体"/>
          <w:color w:val="000000" w:themeColor="text1"/>
          <w:sz w:val="21"/>
          <w:szCs w:val="21"/>
        </w:rPr>
        <w:t>开票结算</w:t>
      </w:r>
      <w:r>
        <w:rPr>
          <w:rFonts w:hint="default" w:ascii="Times New Roman" w:eastAsia="新宋体"/>
          <w:color w:val="000000" w:themeColor="text1"/>
          <w:sz w:val="21"/>
          <w:szCs w:val="21"/>
        </w:rPr>
        <w:t>程序。</w:t>
      </w:r>
    </w:p>
    <w:p w14:paraId="3CDD479B">
      <w:pPr>
        <w:pStyle w:val="3"/>
        <w:snapToGrid w:val="0"/>
        <w:ind w:firstLine="0"/>
        <w:rPr>
          <w:rFonts w:hint="default" w:ascii="Times New Roman" w:eastAsia="新宋体"/>
          <w:color w:val="000000" w:themeColor="text1"/>
          <w:sz w:val="21"/>
          <w:szCs w:val="21"/>
        </w:rPr>
      </w:pPr>
      <w:r>
        <w:rPr>
          <w:rFonts w:hint="default" w:ascii="Times New Roman" w:eastAsia="新宋体"/>
          <w:color w:val="000000" w:themeColor="text1"/>
          <w:sz w:val="21"/>
          <w:szCs w:val="21"/>
        </w:rPr>
        <w:t>5.8 结算方式：</w:t>
      </w:r>
      <w:r>
        <w:rPr>
          <w:rFonts w:hint="default" w:ascii="Times New Roman"/>
          <w:color w:val="000000" w:themeColor="text1"/>
          <w:sz w:val="21"/>
          <w:szCs w:val="24"/>
        </w:rPr>
        <w:t>甲方</w:t>
      </w:r>
      <w:r>
        <w:rPr>
          <w:rFonts w:ascii="Times New Roman"/>
          <w:color w:val="000000" w:themeColor="text1"/>
          <w:sz w:val="21"/>
          <w:szCs w:val="24"/>
        </w:rPr>
        <w:t>从</w:t>
      </w:r>
      <w:r>
        <w:rPr>
          <w:rFonts w:hint="default" w:ascii="Times New Roman"/>
          <w:color w:val="000000" w:themeColor="text1"/>
          <w:sz w:val="21"/>
          <w:szCs w:val="24"/>
        </w:rPr>
        <w:t>乙方</w:t>
      </w:r>
      <w:r>
        <w:rPr>
          <w:rFonts w:ascii="Times New Roman" w:eastAsia="新宋体"/>
          <w:color w:val="000000" w:themeColor="text1"/>
          <w:sz w:val="21"/>
          <w:szCs w:val="21"/>
        </w:rPr>
        <w:t>的</w:t>
      </w:r>
      <w:r>
        <w:rPr>
          <w:rFonts w:hint="default" w:ascii="Times New Roman" w:eastAsia="新宋体"/>
          <w:color w:val="000000" w:themeColor="text1"/>
          <w:sz w:val="21"/>
          <w:szCs w:val="21"/>
        </w:rPr>
        <w:t>保证金或</w:t>
      </w:r>
      <w:r>
        <w:rPr>
          <w:rFonts w:ascii="Times New Roman" w:eastAsia="新宋体"/>
          <w:color w:val="000000" w:themeColor="text1"/>
          <w:sz w:val="21"/>
          <w:szCs w:val="21"/>
        </w:rPr>
        <w:t>应付</w:t>
      </w:r>
      <w:r>
        <w:rPr>
          <w:rFonts w:hint="default" w:ascii="Times New Roman" w:eastAsia="新宋体"/>
          <w:color w:val="000000" w:themeColor="text1"/>
          <w:sz w:val="21"/>
          <w:szCs w:val="21"/>
        </w:rPr>
        <w:t>乙方的货款中扣</w:t>
      </w:r>
      <w:r>
        <w:rPr>
          <w:rFonts w:ascii="Times New Roman" w:eastAsia="新宋体"/>
          <w:color w:val="000000" w:themeColor="text1"/>
          <w:sz w:val="21"/>
          <w:szCs w:val="21"/>
        </w:rPr>
        <w:t>减</w:t>
      </w:r>
      <w:r>
        <w:rPr>
          <w:rFonts w:hint="default" w:ascii="Times New Roman" w:eastAsia="新宋体"/>
          <w:color w:val="000000" w:themeColor="text1"/>
          <w:sz w:val="21"/>
          <w:szCs w:val="21"/>
        </w:rPr>
        <w:t>，</w:t>
      </w:r>
      <w:r>
        <w:rPr>
          <w:rFonts w:ascii="Times New Roman" w:eastAsia="新宋体"/>
          <w:color w:val="000000" w:themeColor="text1"/>
          <w:sz w:val="21"/>
          <w:szCs w:val="21"/>
        </w:rPr>
        <w:t>同时</w:t>
      </w:r>
      <w:r>
        <w:rPr>
          <w:rFonts w:hint="default" w:ascii="Times New Roman" w:eastAsia="新宋体"/>
          <w:color w:val="000000" w:themeColor="text1"/>
          <w:sz w:val="21"/>
          <w:szCs w:val="21"/>
        </w:rPr>
        <w:t>向乙方出具增值税发票。</w:t>
      </w:r>
      <w:r>
        <w:rPr>
          <w:rFonts w:ascii="Times New Roman" w:eastAsia="新宋体"/>
          <w:color w:val="000000" w:themeColor="text1"/>
          <w:sz w:val="21"/>
          <w:szCs w:val="21"/>
        </w:rPr>
        <w:t>如乙方的保证金和货款不足以抵扣</w:t>
      </w:r>
      <w:r>
        <w:rPr>
          <w:rFonts w:hint="default" w:ascii="Times New Roman" w:eastAsia="新宋体"/>
          <w:color w:val="000000" w:themeColor="text1"/>
          <w:sz w:val="21"/>
          <w:szCs w:val="21"/>
        </w:rPr>
        <w:t>售后服务费用</w:t>
      </w:r>
      <w:r>
        <w:rPr>
          <w:rFonts w:ascii="Times New Roman" w:eastAsia="新宋体"/>
          <w:color w:val="000000" w:themeColor="text1"/>
          <w:sz w:val="21"/>
          <w:szCs w:val="21"/>
        </w:rPr>
        <w:t>，乙方须在接到甲方通知后一个月内以现金方式向甲方支付不足部分。如果乙方拒不接受发票或者不履行付款义务，造成的一切后果由乙方承担。</w:t>
      </w:r>
    </w:p>
    <w:p w14:paraId="1010ECB6">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9</w:t>
      </w:r>
      <w:r>
        <w:rPr>
          <w:rFonts w:ascii="Times New Roman" w:eastAsia="新宋体"/>
          <w:color w:val="000000" w:themeColor="text1"/>
          <w:sz w:val="21"/>
          <w:szCs w:val="21"/>
        </w:rPr>
        <w:t>海外市场因国家地区的不同，结算货币、工时单价、关税储运、政策规定等各有不同，故海外保修结算执行如下统一标准：</w:t>
      </w:r>
    </w:p>
    <w:p w14:paraId="7455CF11">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9</w:t>
      </w:r>
      <w:r>
        <w:rPr>
          <w:rFonts w:ascii="Times New Roman" w:eastAsia="新宋体"/>
          <w:color w:val="000000" w:themeColor="text1"/>
          <w:sz w:val="21"/>
          <w:szCs w:val="21"/>
        </w:rPr>
        <w:t>.1针对服务站保修调件报单的结算：结算标准公式=维保服务单（或保修单）结算总价格×1.3；</w:t>
      </w:r>
    </w:p>
    <w:p w14:paraId="1AF5ADEC">
      <w:pPr>
        <w:pStyle w:val="3"/>
        <w:snapToGrid w:val="0"/>
        <w:ind w:firstLine="0"/>
        <w:rPr>
          <w:rFonts w:hint="default" w:ascii="Times New Roman" w:eastAsia="新宋体"/>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9</w:t>
      </w:r>
      <w:r>
        <w:rPr>
          <w:rFonts w:ascii="Times New Roman" w:eastAsia="新宋体"/>
          <w:color w:val="000000" w:themeColor="text1"/>
          <w:sz w:val="21"/>
          <w:szCs w:val="21"/>
        </w:rPr>
        <w:t>.2针对海格保修直拨发件的结算：结算标准公式=维保服务单（或保修单）材料总价格×1.3；</w:t>
      </w:r>
    </w:p>
    <w:p w14:paraId="5E1DFC31">
      <w:pPr>
        <w:pStyle w:val="3"/>
        <w:snapToGrid w:val="0"/>
        <w:ind w:firstLine="0"/>
        <w:rPr>
          <w:rFonts w:hint="default" w:ascii="Times New Roman"/>
          <w:color w:val="000000" w:themeColor="text1"/>
          <w:sz w:val="21"/>
          <w:szCs w:val="21"/>
        </w:rPr>
      </w:pPr>
      <w:r>
        <w:rPr>
          <w:rFonts w:ascii="Times New Roman" w:eastAsia="新宋体"/>
          <w:color w:val="000000" w:themeColor="text1"/>
          <w:sz w:val="21"/>
          <w:szCs w:val="21"/>
        </w:rPr>
        <w:t>5.</w:t>
      </w:r>
      <w:r>
        <w:rPr>
          <w:rFonts w:hint="default" w:ascii="Times New Roman" w:eastAsia="新宋体"/>
          <w:color w:val="000000" w:themeColor="text1"/>
          <w:sz w:val="21"/>
          <w:szCs w:val="21"/>
        </w:rPr>
        <w:t>9</w:t>
      </w:r>
      <w:r>
        <w:rPr>
          <w:rFonts w:ascii="Times New Roman" w:eastAsia="新宋体"/>
          <w:color w:val="000000" w:themeColor="text1"/>
          <w:sz w:val="21"/>
          <w:szCs w:val="21"/>
        </w:rPr>
        <w:t>.3针对供应商免费提供整改配件的结算：运费、清关费、储运费、工时费等按照实际发生结算。</w:t>
      </w:r>
    </w:p>
    <w:p w14:paraId="3F60CC40">
      <w:pPr>
        <w:pStyle w:val="3"/>
        <w:snapToGrid w:val="0"/>
        <w:ind w:firstLine="0"/>
        <w:rPr>
          <w:rFonts w:hint="default" w:ascii="Times New Roman" w:eastAsia="新宋体"/>
          <w:color w:val="000000" w:themeColor="text1"/>
          <w:sz w:val="21"/>
          <w:szCs w:val="21"/>
        </w:rPr>
      </w:pPr>
    </w:p>
    <w:p w14:paraId="7F889507">
      <w:pPr>
        <w:snapToGrid w:val="0"/>
        <w:spacing w:line="360" w:lineRule="auto"/>
        <w:rPr>
          <w:b/>
          <w:szCs w:val="21"/>
        </w:rPr>
      </w:pPr>
      <w:r>
        <w:rPr>
          <w:rFonts w:eastAsia="新宋体"/>
          <w:b/>
          <w:szCs w:val="21"/>
        </w:rPr>
        <w:t>六、</w:t>
      </w:r>
      <w:r>
        <w:rPr>
          <w:b/>
          <w:szCs w:val="21"/>
        </w:rPr>
        <w:t>售后服务供应商绩效考核办法</w:t>
      </w:r>
    </w:p>
    <w:p w14:paraId="35CA2F52">
      <w:pPr>
        <w:pStyle w:val="3"/>
        <w:snapToGrid w:val="0"/>
        <w:ind w:firstLine="0"/>
        <w:rPr>
          <w:rFonts w:hint="default" w:ascii="Times New Roman" w:eastAsia="新宋体"/>
          <w:sz w:val="21"/>
          <w:szCs w:val="21"/>
        </w:rPr>
      </w:pPr>
      <w:r>
        <w:rPr>
          <w:rFonts w:hint="default" w:ascii="Times New Roman"/>
          <w:sz w:val="21"/>
          <w:szCs w:val="21"/>
        </w:rPr>
        <w:t>每个乙方按考核细则最高可累计扣分20分，亦可奖励加分5分，</w:t>
      </w:r>
      <w:r>
        <w:rPr>
          <w:rFonts w:hint="default" w:ascii="Times New Roman" w:eastAsia="新宋体"/>
          <w:sz w:val="21"/>
          <w:szCs w:val="21"/>
        </w:rPr>
        <w:t>考核细见《供应商奖惩细则》：</w:t>
      </w:r>
    </w:p>
    <w:p w14:paraId="28862758">
      <w:pPr>
        <w:pStyle w:val="3"/>
        <w:snapToGrid w:val="0"/>
        <w:ind w:firstLine="0"/>
        <w:rPr>
          <w:rFonts w:hint="default" w:ascii="Times New Roman" w:eastAsia="新宋体"/>
          <w:sz w:val="21"/>
          <w:szCs w:val="21"/>
        </w:rPr>
      </w:pPr>
    </w:p>
    <w:p w14:paraId="3DA02A8B">
      <w:pPr>
        <w:pStyle w:val="3"/>
        <w:snapToGrid w:val="0"/>
        <w:ind w:firstLine="0"/>
        <w:rPr>
          <w:rFonts w:hint="default" w:ascii="Times New Roman" w:eastAsia="新宋体"/>
          <w:sz w:val="21"/>
          <w:szCs w:val="21"/>
        </w:rPr>
      </w:pPr>
    </w:p>
    <w:p w14:paraId="448CEC97">
      <w:pPr>
        <w:snapToGrid w:val="0"/>
        <w:spacing w:line="360" w:lineRule="auto"/>
        <w:jc w:val="center"/>
        <w:rPr>
          <w:b/>
          <w:bCs/>
          <w:szCs w:val="21"/>
        </w:rPr>
      </w:pPr>
      <w:r>
        <w:rPr>
          <w:b/>
          <w:bCs/>
          <w:szCs w:val="21"/>
        </w:rPr>
        <w:t>供应商奖惩细则</w:t>
      </w:r>
    </w:p>
    <w:tbl>
      <w:tblPr>
        <w:tblStyle w:val="12"/>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764"/>
        <w:gridCol w:w="3402"/>
        <w:gridCol w:w="2977"/>
        <w:gridCol w:w="1377"/>
        <w:gridCol w:w="1320"/>
      </w:tblGrid>
      <w:tr w14:paraId="3EC9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6D5D2B61">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序号</w:t>
            </w:r>
          </w:p>
        </w:tc>
        <w:tc>
          <w:tcPr>
            <w:tcW w:w="3402" w:type="dxa"/>
            <w:shd w:val="clear" w:color="auto" w:fill="FFFFFF"/>
            <w:vAlign w:val="center"/>
          </w:tcPr>
          <w:p w14:paraId="2A560FDE">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索赔原因</w:t>
            </w:r>
          </w:p>
        </w:tc>
        <w:tc>
          <w:tcPr>
            <w:tcW w:w="2977" w:type="dxa"/>
            <w:shd w:val="clear" w:color="auto" w:fill="FFFFFF"/>
            <w:noWrap/>
            <w:vAlign w:val="center"/>
          </w:tcPr>
          <w:p w14:paraId="42AB7337">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索赔标准</w:t>
            </w:r>
          </w:p>
        </w:tc>
        <w:tc>
          <w:tcPr>
            <w:tcW w:w="1377" w:type="dxa"/>
            <w:shd w:val="clear" w:color="auto" w:fill="FFFFFF"/>
            <w:noWrap/>
            <w:vAlign w:val="center"/>
          </w:tcPr>
          <w:p w14:paraId="466FEE54">
            <w:pPr>
              <w:widowControl/>
              <w:snapToGrid w:val="0"/>
              <w:spacing w:line="360" w:lineRule="auto"/>
              <w:jc w:val="left"/>
              <w:rPr>
                <w:rFonts w:ascii="宋体" w:hAnsi="宋体"/>
                <w:color w:val="000000" w:themeColor="text1"/>
                <w:kern w:val="0"/>
                <w:szCs w:val="21"/>
              </w:rPr>
            </w:pPr>
            <w:r>
              <w:rPr>
                <w:rFonts w:ascii="宋体" w:hAnsi="宋体"/>
                <w:color w:val="000000" w:themeColor="text1"/>
                <w:kern w:val="0"/>
                <w:szCs w:val="21"/>
              </w:rPr>
              <w:t>执行部门/执行人</w:t>
            </w:r>
          </w:p>
        </w:tc>
        <w:tc>
          <w:tcPr>
            <w:tcW w:w="1320" w:type="dxa"/>
            <w:shd w:val="clear" w:color="auto" w:fill="FFFFFF"/>
            <w:noWrap/>
            <w:vAlign w:val="center"/>
          </w:tcPr>
          <w:p w14:paraId="4F16F531">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备注</w:t>
            </w:r>
          </w:p>
        </w:tc>
      </w:tr>
      <w:tr w14:paraId="76D5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63B7FAD">
            <w:pPr>
              <w:widowControl/>
              <w:snapToGrid w:val="0"/>
              <w:spacing w:line="360" w:lineRule="auto"/>
              <w:rPr>
                <w:rFonts w:ascii="宋体" w:hAnsi="宋体"/>
                <w:color w:val="000000" w:themeColor="text1"/>
                <w:kern w:val="0"/>
                <w:szCs w:val="21"/>
              </w:rPr>
            </w:pPr>
          </w:p>
          <w:p w14:paraId="739DDB86">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w:t>
            </w:r>
          </w:p>
          <w:p w14:paraId="09FB8F0E">
            <w:pPr>
              <w:widowControl/>
              <w:snapToGrid w:val="0"/>
              <w:spacing w:line="360" w:lineRule="auto"/>
              <w:jc w:val="center"/>
              <w:rPr>
                <w:rFonts w:ascii="宋体" w:hAnsi="宋体"/>
                <w:color w:val="000000" w:themeColor="text1"/>
                <w:kern w:val="0"/>
                <w:szCs w:val="21"/>
              </w:rPr>
            </w:pPr>
          </w:p>
          <w:p w14:paraId="12ABCACE">
            <w:pPr>
              <w:widowControl/>
              <w:snapToGrid w:val="0"/>
              <w:spacing w:line="360" w:lineRule="auto"/>
              <w:rPr>
                <w:rFonts w:ascii="宋体" w:hAnsi="宋体"/>
                <w:color w:val="000000" w:themeColor="text1"/>
                <w:kern w:val="0"/>
                <w:szCs w:val="21"/>
              </w:rPr>
            </w:pPr>
          </w:p>
        </w:tc>
        <w:tc>
          <w:tcPr>
            <w:tcW w:w="3402" w:type="dxa"/>
            <w:shd w:val="clear" w:color="auto" w:fill="FFFFFF"/>
            <w:vAlign w:val="center"/>
          </w:tcPr>
          <w:p w14:paraId="638FF595">
            <w:pPr>
              <w:widowControl/>
              <w:spacing w:line="36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与苏州金龙未另行签订</w:t>
            </w:r>
            <w:r>
              <w:rPr>
                <w:rFonts w:hint="eastAsia" w:ascii="宋体" w:hAnsi="宋体"/>
                <w:color w:val="000000" w:themeColor="text1"/>
                <w:szCs w:val="21"/>
              </w:rPr>
              <w:t>《产品服务协议》。</w:t>
            </w:r>
          </w:p>
        </w:tc>
        <w:tc>
          <w:tcPr>
            <w:tcW w:w="2977" w:type="dxa"/>
            <w:shd w:val="clear" w:color="auto" w:fill="FFFFFF"/>
            <w:noWrap/>
            <w:vAlign w:val="center"/>
          </w:tcPr>
          <w:p w14:paraId="24CD508A">
            <w:pPr>
              <w:widowControl/>
              <w:spacing w:line="360" w:lineRule="auto"/>
              <w:jc w:val="center"/>
              <w:rPr>
                <w:rFonts w:ascii="宋体" w:hAnsi="宋体" w:cs="宋体"/>
                <w:color w:val="000000" w:themeColor="text1"/>
                <w:kern w:val="0"/>
                <w:szCs w:val="21"/>
              </w:rPr>
            </w:pPr>
            <w:r>
              <w:rPr>
                <w:rFonts w:hint="eastAsia" w:ascii="宋体" w:hAnsi="宋体" w:cs="宋体"/>
                <w:color w:val="000000" w:themeColor="text1"/>
                <w:kern w:val="0"/>
                <w:szCs w:val="21"/>
              </w:rPr>
              <w:t>苏州金龙停止付货款</w:t>
            </w:r>
          </w:p>
        </w:tc>
        <w:tc>
          <w:tcPr>
            <w:tcW w:w="1377" w:type="dxa"/>
            <w:shd w:val="clear" w:color="auto" w:fill="FFFFFF"/>
            <w:noWrap/>
            <w:vAlign w:val="center"/>
          </w:tcPr>
          <w:p w14:paraId="739777D3">
            <w:pPr>
              <w:widowControl/>
              <w:spacing w:line="36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客服部、供应部、财务部</w:t>
            </w:r>
          </w:p>
        </w:tc>
        <w:tc>
          <w:tcPr>
            <w:tcW w:w="1320" w:type="dxa"/>
            <w:shd w:val="clear" w:color="auto" w:fill="FFFFFF"/>
            <w:noWrap/>
            <w:vAlign w:val="center"/>
          </w:tcPr>
          <w:p w14:paraId="14DCD49D">
            <w:pPr>
              <w:widowControl/>
              <w:spacing w:line="360" w:lineRule="auto"/>
              <w:jc w:val="left"/>
              <w:rPr>
                <w:rFonts w:ascii="宋体" w:hAnsi="宋体" w:cs="宋体"/>
                <w:color w:val="000000" w:themeColor="text1"/>
                <w:kern w:val="0"/>
                <w:szCs w:val="21"/>
              </w:rPr>
            </w:pPr>
          </w:p>
        </w:tc>
      </w:tr>
      <w:tr w14:paraId="2FE06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6E393458">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w:t>
            </w:r>
          </w:p>
        </w:tc>
        <w:tc>
          <w:tcPr>
            <w:tcW w:w="3402" w:type="dxa"/>
            <w:shd w:val="clear" w:color="auto" w:fill="FFFFFF"/>
            <w:vAlign w:val="center"/>
          </w:tcPr>
          <w:p w14:paraId="239A1094">
            <w:pPr>
              <w:widowControl/>
              <w:spacing w:line="36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非点单类生产配套供应商配件供应付款政策执行”生产配套合同”中约定的结算条款，由于供应商内部管理问题擅自变更货款结算方式导致配件停供。</w:t>
            </w:r>
          </w:p>
        </w:tc>
        <w:tc>
          <w:tcPr>
            <w:tcW w:w="2977" w:type="dxa"/>
            <w:shd w:val="clear" w:color="auto" w:fill="FFFFFF"/>
            <w:noWrap/>
            <w:vAlign w:val="center"/>
          </w:tcPr>
          <w:p w14:paraId="687AB3F0">
            <w:pPr>
              <w:widowControl/>
              <w:spacing w:line="360" w:lineRule="auto"/>
              <w:jc w:val="center"/>
              <w:rPr>
                <w:rFonts w:ascii="宋体" w:hAnsi="宋体" w:cs="宋体"/>
                <w:color w:val="000000" w:themeColor="text1"/>
                <w:kern w:val="0"/>
                <w:szCs w:val="21"/>
              </w:rPr>
            </w:pPr>
            <w:r>
              <w:rPr>
                <w:rFonts w:hint="eastAsia" w:ascii="宋体" w:hAnsi="宋体" w:cs="宋体"/>
                <w:color w:val="000000" w:themeColor="text1"/>
                <w:kern w:val="0"/>
                <w:szCs w:val="21"/>
              </w:rPr>
              <w:t>供应商承担30000元/每个采购订单的违约金，同时发生的客户停车等间接损失也一并由供应商承担</w:t>
            </w:r>
          </w:p>
        </w:tc>
        <w:tc>
          <w:tcPr>
            <w:tcW w:w="1377" w:type="dxa"/>
            <w:shd w:val="clear" w:color="auto" w:fill="FFFFFF"/>
            <w:noWrap/>
            <w:vAlign w:val="center"/>
          </w:tcPr>
          <w:p w14:paraId="4655E48A">
            <w:pPr>
              <w:widowControl/>
              <w:spacing w:line="36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客服部/配件供应商管理工程师</w:t>
            </w:r>
          </w:p>
        </w:tc>
        <w:tc>
          <w:tcPr>
            <w:tcW w:w="1320" w:type="dxa"/>
            <w:shd w:val="clear" w:color="auto" w:fill="FFFFFF"/>
            <w:noWrap/>
            <w:vAlign w:val="center"/>
          </w:tcPr>
          <w:p w14:paraId="682D609E">
            <w:pPr>
              <w:widowControl/>
              <w:spacing w:line="360" w:lineRule="auto"/>
              <w:jc w:val="left"/>
              <w:rPr>
                <w:rFonts w:ascii="宋体" w:hAnsi="宋体" w:cs="宋体"/>
                <w:color w:val="000000" w:themeColor="text1"/>
                <w:kern w:val="0"/>
                <w:szCs w:val="21"/>
              </w:rPr>
            </w:pPr>
          </w:p>
        </w:tc>
      </w:tr>
      <w:tr w14:paraId="7056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F2D3D99">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w:t>
            </w:r>
          </w:p>
        </w:tc>
        <w:tc>
          <w:tcPr>
            <w:tcW w:w="3402" w:type="dxa"/>
            <w:shd w:val="clear" w:color="auto" w:fill="FFFFFF"/>
            <w:vAlign w:val="center"/>
          </w:tcPr>
          <w:p w14:paraId="15A0FC0A">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客服部开具的“供应商奖惩通知书”供应商收到后7日内应答复。</w:t>
            </w:r>
          </w:p>
        </w:tc>
        <w:tc>
          <w:tcPr>
            <w:tcW w:w="2977" w:type="dxa"/>
            <w:shd w:val="clear" w:color="auto" w:fill="FFFFFF"/>
            <w:noWrap/>
            <w:vAlign w:val="center"/>
          </w:tcPr>
          <w:p w14:paraId="5BF1BCDC">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不回复将直接在货款中扣除</w:t>
            </w:r>
          </w:p>
        </w:tc>
        <w:tc>
          <w:tcPr>
            <w:tcW w:w="1377" w:type="dxa"/>
            <w:shd w:val="clear" w:color="auto" w:fill="FFFFFF"/>
            <w:noWrap/>
            <w:vAlign w:val="center"/>
          </w:tcPr>
          <w:p w14:paraId="63E72AB9">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客服部/配件供应商管理工程师</w:t>
            </w:r>
          </w:p>
        </w:tc>
        <w:tc>
          <w:tcPr>
            <w:tcW w:w="1320" w:type="dxa"/>
            <w:shd w:val="clear" w:color="auto" w:fill="FFFFFF"/>
            <w:noWrap/>
            <w:vAlign w:val="center"/>
          </w:tcPr>
          <w:p w14:paraId="365EDD24">
            <w:pPr>
              <w:widowControl/>
              <w:spacing w:line="360" w:lineRule="auto"/>
              <w:jc w:val="left"/>
              <w:rPr>
                <w:rFonts w:ascii="宋体" w:hAnsi="宋体" w:cs="宋体"/>
                <w:color w:val="000000" w:themeColor="text1"/>
                <w:kern w:val="0"/>
                <w:szCs w:val="21"/>
              </w:rPr>
            </w:pPr>
          </w:p>
        </w:tc>
      </w:tr>
      <w:tr w14:paraId="36B4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3F3C5B7D">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4</w:t>
            </w:r>
          </w:p>
        </w:tc>
        <w:tc>
          <w:tcPr>
            <w:tcW w:w="3402" w:type="dxa"/>
            <w:shd w:val="clear" w:color="auto" w:fill="FFFFFF"/>
            <w:vAlign w:val="center"/>
          </w:tcPr>
          <w:p w14:paraId="098E9AD0">
            <w:pPr>
              <w:widowControl/>
              <w:spacing w:line="360" w:lineRule="auto"/>
              <w:jc w:val="left"/>
              <w:rPr>
                <w:rFonts w:ascii="宋体" w:hAnsi="宋体"/>
                <w:color w:val="000000" w:themeColor="text1"/>
                <w:szCs w:val="21"/>
              </w:rPr>
            </w:pPr>
            <w:r>
              <w:rPr>
                <w:rFonts w:hint="eastAsia" w:ascii="宋体" w:hAnsi="宋体"/>
                <w:color w:val="000000" w:themeColor="text1"/>
                <w:szCs w:val="21"/>
              </w:rPr>
              <w:t>未得到苏州金龙的书面许可不得向第三方销售带苏州金龙标识及包装的配件、同时不得以苏州金龙供应商身份对外推销产品</w:t>
            </w:r>
          </w:p>
        </w:tc>
        <w:tc>
          <w:tcPr>
            <w:tcW w:w="2977" w:type="dxa"/>
            <w:shd w:val="clear" w:color="auto" w:fill="FFFFFF"/>
            <w:noWrap/>
            <w:vAlign w:val="center"/>
          </w:tcPr>
          <w:p w14:paraId="3ED5CD38">
            <w:pPr>
              <w:widowControl/>
              <w:spacing w:line="360" w:lineRule="auto"/>
              <w:rPr>
                <w:rFonts w:ascii="宋体" w:hAnsi="宋体"/>
                <w:color w:val="000000" w:themeColor="text1"/>
                <w:szCs w:val="21"/>
              </w:rPr>
            </w:pPr>
            <w:r>
              <w:rPr>
                <w:rFonts w:hint="eastAsia" w:ascii="宋体" w:hAnsi="宋体"/>
                <w:color w:val="000000" w:themeColor="text1"/>
                <w:szCs w:val="21"/>
              </w:rPr>
              <w:t>根据全年采购额的30%进行索赔，最低不低于50000元/项目</w:t>
            </w:r>
          </w:p>
        </w:tc>
        <w:tc>
          <w:tcPr>
            <w:tcW w:w="1377" w:type="dxa"/>
            <w:shd w:val="clear" w:color="auto" w:fill="FFFFFF"/>
            <w:noWrap/>
            <w:vAlign w:val="center"/>
          </w:tcPr>
          <w:p w14:paraId="2B2EA4E7">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客服部/配件供应商管理工程师</w:t>
            </w:r>
          </w:p>
        </w:tc>
        <w:tc>
          <w:tcPr>
            <w:tcW w:w="1320" w:type="dxa"/>
            <w:shd w:val="clear" w:color="auto" w:fill="FFFFFF"/>
            <w:noWrap/>
            <w:vAlign w:val="center"/>
          </w:tcPr>
          <w:p w14:paraId="3778F74D">
            <w:pPr>
              <w:widowControl/>
              <w:spacing w:line="360" w:lineRule="auto"/>
              <w:jc w:val="left"/>
              <w:rPr>
                <w:rFonts w:ascii="宋体" w:hAnsi="宋体" w:cs="宋体"/>
                <w:color w:val="000000" w:themeColor="text1"/>
                <w:kern w:val="0"/>
                <w:szCs w:val="21"/>
              </w:rPr>
            </w:pPr>
          </w:p>
        </w:tc>
      </w:tr>
      <w:tr w14:paraId="28C79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3834160B">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5</w:t>
            </w:r>
          </w:p>
        </w:tc>
        <w:tc>
          <w:tcPr>
            <w:tcW w:w="3402" w:type="dxa"/>
            <w:shd w:val="clear" w:color="auto" w:fill="FFFFFF"/>
            <w:vAlign w:val="center"/>
          </w:tcPr>
          <w:p w14:paraId="413E7F09">
            <w:pPr>
              <w:widowControl/>
              <w:spacing w:line="360" w:lineRule="auto"/>
              <w:jc w:val="left"/>
              <w:rPr>
                <w:rFonts w:ascii="宋体" w:hAnsi="宋体"/>
                <w:color w:val="000000" w:themeColor="text1"/>
                <w:szCs w:val="21"/>
              </w:rPr>
            </w:pPr>
            <w:r>
              <w:rPr>
                <w:rFonts w:hint="eastAsia" w:ascii="宋体" w:hAnsi="宋体"/>
                <w:color w:val="000000" w:themeColor="text1"/>
                <w:szCs w:val="21"/>
              </w:rPr>
              <w:t>不按时进行“采购订单签返确认”</w:t>
            </w:r>
          </w:p>
        </w:tc>
        <w:tc>
          <w:tcPr>
            <w:tcW w:w="2977" w:type="dxa"/>
            <w:shd w:val="clear" w:color="auto" w:fill="FFFFFF"/>
            <w:noWrap/>
            <w:vAlign w:val="center"/>
          </w:tcPr>
          <w:p w14:paraId="159C4A59">
            <w:pPr>
              <w:widowControl/>
              <w:spacing w:line="360" w:lineRule="auto"/>
              <w:jc w:val="center"/>
              <w:rPr>
                <w:rFonts w:ascii="宋体" w:hAnsi="宋体"/>
                <w:color w:val="000000" w:themeColor="text1"/>
                <w:szCs w:val="21"/>
              </w:rPr>
            </w:pPr>
            <w:r>
              <w:rPr>
                <w:rFonts w:hint="eastAsia" w:ascii="宋体" w:hAnsi="宋体"/>
                <w:color w:val="000000" w:themeColor="text1"/>
                <w:szCs w:val="21"/>
              </w:rPr>
              <w:t>每个采购订单1000元进行考核</w:t>
            </w:r>
          </w:p>
        </w:tc>
        <w:tc>
          <w:tcPr>
            <w:tcW w:w="1377" w:type="dxa"/>
            <w:shd w:val="clear" w:color="auto" w:fill="FFFFFF"/>
            <w:noWrap/>
            <w:vAlign w:val="center"/>
          </w:tcPr>
          <w:p w14:paraId="27DCF626">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w:t>
            </w:r>
          </w:p>
        </w:tc>
        <w:tc>
          <w:tcPr>
            <w:tcW w:w="1320" w:type="dxa"/>
            <w:shd w:val="clear" w:color="auto" w:fill="FFFFFF"/>
            <w:noWrap/>
            <w:vAlign w:val="center"/>
          </w:tcPr>
          <w:p w14:paraId="62DBE406">
            <w:pPr>
              <w:widowControl/>
              <w:spacing w:line="360" w:lineRule="auto"/>
              <w:jc w:val="left"/>
              <w:rPr>
                <w:rFonts w:ascii="宋体" w:hAnsi="宋体" w:cs="宋体"/>
                <w:color w:val="000000" w:themeColor="text1"/>
                <w:kern w:val="0"/>
                <w:szCs w:val="21"/>
              </w:rPr>
            </w:pPr>
          </w:p>
        </w:tc>
      </w:tr>
      <w:tr w14:paraId="14FC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0C77CAA1">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6</w:t>
            </w:r>
          </w:p>
        </w:tc>
        <w:tc>
          <w:tcPr>
            <w:tcW w:w="3402" w:type="dxa"/>
            <w:shd w:val="clear" w:color="auto" w:fill="FFFFFF"/>
            <w:vAlign w:val="center"/>
          </w:tcPr>
          <w:p w14:paraId="6AA5349D">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供应商送货时</w:t>
            </w:r>
            <w:r>
              <w:rPr>
                <w:rFonts w:hint="eastAsia" w:ascii="宋体" w:hAnsi="宋体"/>
                <w:color w:val="000000" w:themeColor="text1"/>
                <w:szCs w:val="21"/>
              </w:rPr>
              <w:t>不携带“苏州金龙送货单”</w:t>
            </w:r>
            <w:r>
              <w:rPr>
                <w:rFonts w:hint="eastAsia" w:ascii="宋体" w:hAnsi="宋体" w:cs="宋体"/>
                <w:color w:val="000000" w:themeColor="text1"/>
                <w:kern w:val="0"/>
                <w:szCs w:val="21"/>
              </w:rPr>
              <w:t xml:space="preserve"> 或</w:t>
            </w:r>
            <w:r>
              <w:rPr>
                <w:rFonts w:hint="eastAsia" w:ascii="宋体" w:hAnsi="宋体"/>
                <w:color w:val="000000" w:themeColor="text1"/>
                <w:szCs w:val="21"/>
              </w:rPr>
              <w:t>&lt;零部件供收方交付检验记录&gt;。</w:t>
            </w:r>
          </w:p>
        </w:tc>
        <w:tc>
          <w:tcPr>
            <w:tcW w:w="2977" w:type="dxa"/>
            <w:shd w:val="clear" w:color="auto" w:fill="FFFFFF"/>
            <w:noWrap/>
            <w:vAlign w:val="center"/>
          </w:tcPr>
          <w:p w14:paraId="5EE058BB">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按每个</w:t>
            </w:r>
            <w:r>
              <w:rPr>
                <w:rFonts w:hint="eastAsia" w:ascii="宋体" w:hAnsi="宋体"/>
                <w:color w:val="000000" w:themeColor="text1"/>
                <w:szCs w:val="21"/>
              </w:rPr>
              <w:t>批次500元的标准索赔</w:t>
            </w:r>
          </w:p>
        </w:tc>
        <w:tc>
          <w:tcPr>
            <w:tcW w:w="1377" w:type="dxa"/>
            <w:shd w:val="clear" w:color="auto" w:fill="FFFFFF"/>
            <w:noWrap/>
            <w:vAlign w:val="center"/>
          </w:tcPr>
          <w:p w14:paraId="5FB8D4C6">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客服部/配件采购工程，仓管员</w:t>
            </w:r>
          </w:p>
        </w:tc>
        <w:tc>
          <w:tcPr>
            <w:tcW w:w="1320" w:type="dxa"/>
            <w:shd w:val="clear" w:color="auto" w:fill="FFFFFF"/>
            <w:noWrap/>
            <w:vAlign w:val="center"/>
          </w:tcPr>
          <w:p w14:paraId="50C79DC6">
            <w:pPr>
              <w:widowControl/>
              <w:spacing w:line="360" w:lineRule="auto"/>
              <w:jc w:val="left"/>
              <w:rPr>
                <w:rFonts w:ascii="宋体" w:hAnsi="宋体" w:cs="宋体"/>
                <w:color w:val="000000" w:themeColor="text1"/>
                <w:kern w:val="0"/>
                <w:szCs w:val="21"/>
              </w:rPr>
            </w:pPr>
          </w:p>
        </w:tc>
      </w:tr>
      <w:tr w14:paraId="46AB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39A19A5B">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7</w:t>
            </w:r>
          </w:p>
        </w:tc>
        <w:tc>
          <w:tcPr>
            <w:tcW w:w="3402" w:type="dxa"/>
            <w:shd w:val="clear" w:color="auto" w:fill="FFFFFF"/>
            <w:vAlign w:val="center"/>
          </w:tcPr>
          <w:p w14:paraId="07AB7A97">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供应商恶意</w:t>
            </w:r>
            <w:r>
              <w:rPr>
                <w:rFonts w:hint="eastAsia" w:ascii="宋体" w:hAnsi="宋体"/>
                <w:color w:val="000000" w:themeColor="text1"/>
                <w:szCs w:val="21"/>
              </w:rPr>
              <w:t>“缺斤少两”。</w:t>
            </w:r>
          </w:p>
        </w:tc>
        <w:tc>
          <w:tcPr>
            <w:tcW w:w="2977" w:type="dxa"/>
            <w:shd w:val="clear" w:color="auto" w:fill="FFFFFF"/>
            <w:noWrap/>
            <w:vAlign w:val="center"/>
          </w:tcPr>
          <w:p w14:paraId="588AAB0D">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按照送货单总金额与实际送货物料总金额差额的1～3倍考核</w:t>
            </w:r>
          </w:p>
        </w:tc>
        <w:tc>
          <w:tcPr>
            <w:tcW w:w="1377" w:type="dxa"/>
            <w:shd w:val="clear" w:color="auto" w:fill="FFFFFF"/>
            <w:noWrap/>
            <w:vAlign w:val="center"/>
          </w:tcPr>
          <w:p w14:paraId="5AD0F467">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客服部/配件采购工程，仓管员</w:t>
            </w:r>
          </w:p>
        </w:tc>
        <w:tc>
          <w:tcPr>
            <w:tcW w:w="1320" w:type="dxa"/>
            <w:shd w:val="clear" w:color="auto" w:fill="FFFFFF"/>
            <w:noWrap/>
            <w:vAlign w:val="center"/>
          </w:tcPr>
          <w:p w14:paraId="1D3CF5BA">
            <w:pPr>
              <w:widowControl/>
              <w:spacing w:line="360" w:lineRule="auto"/>
              <w:jc w:val="left"/>
              <w:rPr>
                <w:rFonts w:ascii="宋体" w:hAnsi="宋体" w:cs="宋体"/>
                <w:color w:val="000000" w:themeColor="text1"/>
                <w:kern w:val="0"/>
                <w:szCs w:val="21"/>
              </w:rPr>
            </w:pPr>
          </w:p>
        </w:tc>
      </w:tr>
      <w:tr w14:paraId="6212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1274D57">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8</w:t>
            </w:r>
          </w:p>
        </w:tc>
        <w:tc>
          <w:tcPr>
            <w:tcW w:w="3402" w:type="dxa"/>
            <w:shd w:val="clear" w:color="auto" w:fill="FFFFFF"/>
            <w:vAlign w:val="center"/>
          </w:tcPr>
          <w:p w14:paraId="1BCED4CE">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供应商配件供应月交付率整改不到位。</w:t>
            </w:r>
          </w:p>
        </w:tc>
        <w:tc>
          <w:tcPr>
            <w:tcW w:w="2977" w:type="dxa"/>
            <w:shd w:val="clear" w:color="auto" w:fill="FFFFFF"/>
            <w:noWrap/>
            <w:vAlign w:val="center"/>
          </w:tcPr>
          <w:p w14:paraId="68C6A046">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当月服务绩效为0，通报批评并按2000元的标准考核</w:t>
            </w:r>
          </w:p>
        </w:tc>
        <w:tc>
          <w:tcPr>
            <w:tcW w:w="1377" w:type="dxa"/>
            <w:shd w:val="clear" w:color="auto" w:fill="FFFFFF"/>
            <w:noWrap/>
            <w:vAlign w:val="center"/>
          </w:tcPr>
          <w:p w14:paraId="26FF9B89">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客服部/配件供应商管理工程师</w:t>
            </w:r>
          </w:p>
        </w:tc>
        <w:tc>
          <w:tcPr>
            <w:tcW w:w="1320" w:type="dxa"/>
            <w:shd w:val="clear" w:color="auto" w:fill="FFFFFF"/>
            <w:noWrap/>
            <w:vAlign w:val="center"/>
          </w:tcPr>
          <w:p w14:paraId="36FEA525">
            <w:pPr>
              <w:widowControl/>
              <w:spacing w:line="360" w:lineRule="auto"/>
              <w:jc w:val="left"/>
              <w:rPr>
                <w:rFonts w:ascii="宋体" w:hAnsi="宋体" w:cs="宋体"/>
                <w:color w:val="000000" w:themeColor="text1"/>
                <w:kern w:val="0"/>
                <w:szCs w:val="21"/>
              </w:rPr>
            </w:pPr>
          </w:p>
        </w:tc>
      </w:tr>
      <w:tr w14:paraId="6642C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747F1A15">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9</w:t>
            </w:r>
          </w:p>
        </w:tc>
        <w:tc>
          <w:tcPr>
            <w:tcW w:w="3402" w:type="dxa"/>
            <w:shd w:val="clear" w:color="auto" w:fill="FFFFFF"/>
            <w:vAlign w:val="center"/>
          </w:tcPr>
          <w:p w14:paraId="4B189FA0">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供应商配件供应延期交货或停车急件无库存导致客户车辆停运。</w:t>
            </w:r>
          </w:p>
        </w:tc>
        <w:tc>
          <w:tcPr>
            <w:tcW w:w="2977" w:type="dxa"/>
            <w:shd w:val="clear" w:color="auto" w:fill="FFFFFF"/>
            <w:noWrap/>
            <w:vAlign w:val="center"/>
          </w:tcPr>
          <w:p w14:paraId="0AB08AAE">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延期交货按照</w:t>
            </w:r>
            <w:r>
              <w:rPr>
                <w:rFonts w:hint="eastAsia" w:ascii="宋体" w:hAnsi="宋体"/>
                <w:color w:val="000000" w:themeColor="text1"/>
                <w:szCs w:val="21"/>
              </w:rPr>
              <w:t>每项次200元/天的标准考核,，停车件未备库存导致车辆停运，5-13米车型分别按照500-1300元每天*（停运天数-运输天数）进行考核，实际损失大于上述计算规则以实际损失为准</w:t>
            </w:r>
          </w:p>
        </w:tc>
        <w:tc>
          <w:tcPr>
            <w:tcW w:w="1377" w:type="dxa"/>
            <w:shd w:val="clear" w:color="auto" w:fill="FFFFFF"/>
            <w:noWrap/>
            <w:vAlign w:val="center"/>
          </w:tcPr>
          <w:p w14:paraId="31C4E89D">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客服部/配件采购工程，仓管员</w:t>
            </w:r>
          </w:p>
        </w:tc>
        <w:tc>
          <w:tcPr>
            <w:tcW w:w="1320" w:type="dxa"/>
            <w:shd w:val="clear" w:color="auto" w:fill="FFFFFF"/>
            <w:noWrap/>
            <w:vAlign w:val="center"/>
          </w:tcPr>
          <w:p w14:paraId="6A1C99BD">
            <w:pPr>
              <w:widowControl/>
              <w:spacing w:line="360" w:lineRule="auto"/>
              <w:jc w:val="left"/>
              <w:rPr>
                <w:rFonts w:ascii="宋体" w:hAnsi="宋体" w:cs="宋体"/>
                <w:color w:val="000000" w:themeColor="text1"/>
                <w:kern w:val="0"/>
                <w:szCs w:val="21"/>
              </w:rPr>
            </w:pPr>
          </w:p>
        </w:tc>
      </w:tr>
      <w:tr w14:paraId="7C08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2A92F6D6">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10</w:t>
            </w:r>
          </w:p>
        </w:tc>
        <w:tc>
          <w:tcPr>
            <w:tcW w:w="3402" w:type="dxa"/>
            <w:shd w:val="clear" w:color="auto" w:fill="FFFFFF"/>
            <w:vAlign w:val="center"/>
          </w:tcPr>
          <w:p w14:paraId="63143F04">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供应商配件</w:t>
            </w:r>
            <w:r>
              <w:rPr>
                <w:rFonts w:hint="eastAsia" w:ascii="宋体" w:hAnsi="宋体"/>
                <w:color w:val="000000" w:themeColor="text1"/>
                <w:szCs w:val="21"/>
              </w:rPr>
              <w:t>供货质量与甲方要求不符。</w:t>
            </w:r>
          </w:p>
        </w:tc>
        <w:tc>
          <w:tcPr>
            <w:tcW w:w="2977" w:type="dxa"/>
            <w:shd w:val="clear" w:color="auto" w:fill="FFFFFF"/>
            <w:noWrap/>
            <w:vAlign w:val="center"/>
          </w:tcPr>
          <w:p w14:paraId="1AC25D0A">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按照</w:t>
            </w:r>
            <w:r>
              <w:rPr>
                <w:rFonts w:hint="eastAsia" w:ascii="宋体" w:hAnsi="宋体"/>
                <w:color w:val="000000" w:themeColor="text1"/>
                <w:szCs w:val="21"/>
              </w:rPr>
              <w:t>每项次200元/天的标准考核</w:t>
            </w:r>
          </w:p>
        </w:tc>
        <w:tc>
          <w:tcPr>
            <w:tcW w:w="1377" w:type="dxa"/>
            <w:shd w:val="clear" w:color="auto" w:fill="FFFFFF"/>
            <w:noWrap/>
            <w:vAlign w:val="center"/>
          </w:tcPr>
          <w:p w14:paraId="2D780148">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客服部/配件采购工程，仓管员</w:t>
            </w:r>
          </w:p>
        </w:tc>
        <w:tc>
          <w:tcPr>
            <w:tcW w:w="1320" w:type="dxa"/>
            <w:shd w:val="clear" w:color="auto" w:fill="FFFFFF"/>
            <w:noWrap/>
            <w:vAlign w:val="center"/>
          </w:tcPr>
          <w:p w14:paraId="6FD5E6EB">
            <w:pPr>
              <w:widowControl/>
              <w:spacing w:line="360" w:lineRule="auto"/>
              <w:jc w:val="left"/>
              <w:rPr>
                <w:rFonts w:ascii="宋体" w:hAnsi="宋体" w:cs="宋体"/>
                <w:color w:val="000000" w:themeColor="text1"/>
                <w:kern w:val="0"/>
                <w:szCs w:val="21"/>
              </w:rPr>
            </w:pPr>
          </w:p>
        </w:tc>
      </w:tr>
      <w:tr w14:paraId="7A6F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7520A649">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11</w:t>
            </w:r>
          </w:p>
        </w:tc>
        <w:tc>
          <w:tcPr>
            <w:tcW w:w="3402" w:type="dxa"/>
            <w:shd w:val="clear" w:color="auto" w:fill="FFFFFF"/>
            <w:vAlign w:val="center"/>
          </w:tcPr>
          <w:p w14:paraId="009831D7">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供应商送错货。</w:t>
            </w:r>
          </w:p>
        </w:tc>
        <w:tc>
          <w:tcPr>
            <w:tcW w:w="2977" w:type="dxa"/>
            <w:shd w:val="clear" w:color="auto" w:fill="FFFFFF"/>
            <w:noWrap/>
            <w:vAlign w:val="center"/>
          </w:tcPr>
          <w:p w14:paraId="69BCA732">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按照</w:t>
            </w:r>
            <w:r>
              <w:rPr>
                <w:rFonts w:hint="eastAsia" w:ascii="宋体" w:hAnsi="宋体"/>
                <w:color w:val="000000" w:themeColor="text1"/>
                <w:szCs w:val="21"/>
              </w:rPr>
              <w:t>每项次200元/天的标准考核</w:t>
            </w:r>
          </w:p>
        </w:tc>
        <w:tc>
          <w:tcPr>
            <w:tcW w:w="1377" w:type="dxa"/>
            <w:shd w:val="clear" w:color="auto" w:fill="FFFFFF"/>
            <w:noWrap/>
            <w:vAlign w:val="center"/>
          </w:tcPr>
          <w:p w14:paraId="05671BCF">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客服部/配件采购工程，仓管员</w:t>
            </w:r>
          </w:p>
        </w:tc>
        <w:tc>
          <w:tcPr>
            <w:tcW w:w="1320" w:type="dxa"/>
            <w:shd w:val="clear" w:color="auto" w:fill="FFFFFF"/>
            <w:noWrap/>
            <w:vAlign w:val="center"/>
          </w:tcPr>
          <w:p w14:paraId="5FA28FB1">
            <w:pPr>
              <w:widowControl/>
              <w:spacing w:line="360" w:lineRule="auto"/>
              <w:jc w:val="left"/>
              <w:rPr>
                <w:rFonts w:ascii="宋体" w:hAnsi="宋体" w:cs="宋体"/>
                <w:color w:val="000000" w:themeColor="text1"/>
                <w:kern w:val="0"/>
                <w:szCs w:val="21"/>
              </w:rPr>
            </w:pPr>
          </w:p>
        </w:tc>
      </w:tr>
      <w:tr w14:paraId="21BD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1D1D0F02">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12</w:t>
            </w:r>
          </w:p>
        </w:tc>
        <w:tc>
          <w:tcPr>
            <w:tcW w:w="3402" w:type="dxa"/>
            <w:shd w:val="clear" w:color="auto" w:fill="FFFFFF"/>
            <w:vAlign w:val="center"/>
          </w:tcPr>
          <w:p w14:paraId="7ED58FAC">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供应商送货时</w:t>
            </w:r>
            <w:r>
              <w:rPr>
                <w:rFonts w:hint="eastAsia" w:ascii="宋体" w:hAnsi="宋体"/>
                <w:color w:val="000000" w:themeColor="text1"/>
                <w:szCs w:val="21"/>
              </w:rPr>
              <w:t>条码与实物不符。</w:t>
            </w:r>
          </w:p>
        </w:tc>
        <w:tc>
          <w:tcPr>
            <w:tcW w:w="2977" w:type="dxa"/>
            <w:shd w:val="clear" w:color="auto" w:fill="FFFFFF"/>
            <w:noWrap/>
            <w:vAlign w:val="center"/>
          </w:tcPr>
          <w:p w14:paraId="61F5B26B">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按照</w:t>
            </w:r>
            <w:r>
              <w:rPr>
                <w:rFonts w:hint="eastAsia" w:ascii="宋体" w:hAnsi="宋体"/>
                <w:color w:val="000000" w:themeColor="text1"/>
                <w:szCs w:val="21"/>
              </w:rPr>
              <w:t>每项次200元/天的标准考核</w:t>
            </w:r>
          </w:p>
        </w:tc>
        <w:tc>
          <w:tcPr>
            <w:tcW w:w="1377" w:type="dxa"/>
            <w:shd w:val="clear" w:color="auto" w:fill="FFFFFF"/>
            <w:noWrap/>
            <w:vAlign w:val="center"/>
          </w:tcPr>
          <w:p w14:paraId="29CA934E">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客服部/配件采购工程，仓管员</w:t>
            </w:r>
          </w:p>
        </w:tc>
        <w:tc>
          <w:tcPr>
            <w:tcW w:w="1320" w:type="dxa"/>
            <w:shd w:val="clear" w:color="auto" w:fill="FFFFFF"/>
            <w:noWrap/>
            <w:vAlign w:val="center"/>
          </w:tcPr>
          <w:p w14:paraId="5B81E868">
            <w:pPr>
              <w:widowControl/>
              <w:spacing w:line="360" w:lineRule="auto"/>
              <w:jc w:val="left"/>
              <w:rPr>
                <w:rFonts w:ascii="宋体" w:hAnsi="宋体" w:cs="宋体"/>
                <w:color w:val="000000" w:themeColor="text1"/>
                <w:kern w:val="0"/>
                <w:szCs w:val="21"/>
              </w:rPr>
            </w:pPr>
          </w:p>
        </w:tc>
      </w:tr>
      <w:tr w14:paraId="725B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094DBD00">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13</w:t>
            </w:r>
          </w:p>
        </w:tc>
        <w:tc>
          <w:tcPr>
            <w:tcW w:w="3402" w:type="dxa"/>
            <w:shd w:val="clear" w:color="auto" w:fill="FFFFFF"/>
            <w:vAlign w:val="center"/>
          </w:tcPr>
          <w:p w14:paraId="065871C2">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供应商未得到苏州金龙的书面许可向第三方销售苏州金龙具有知识产权的产品。</w:t>
            </w:r>
          </w:p>
        </w:tc>
        <w:tc>
          <w:tcPr>
            <w:tcW w:w="2977" w:type="dxa"/>
            <w:shd w:val="clear" w:color="auto" w:fill="FFFFFF"/>
            <w:noWrap/>
            <w:vAlign w:val="center"/>
          </w:tcPr>
          <w:p w14:paraId="0A10E144">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按照</w:t>
            </w:r>
            <w:r>
              <w:rPr>
                <w:rFonts w:hint="eastAsia" w:ascii="宋体" w:hAnsi="宋体"/>
                <w:color w:val="000000" w:themeColor="text1"/>
                <w:szCs w:val="21"/>
              </w:rPr>
              <w:t>50000至300000元的范围视严重情况进行考核</w:t>
            </w:r>
          </w:p>
        </w:tc>
        <w:tc>
          <w:tcPr>
            <w:tcW w:w="1377" w:type="dxa"/>
            <w:shd w:val="clear" w:color="auto" w:fill="FFFFFF"/>
            <w:noWrap/>
            <w:vAlign w:val="center"/>
          </w:tcPr>
          <w:p w14:paraId="449EB39C">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客服部/配件供应商管理工程师</w:t>
            </w:r>
          </w:p>
        </w:tc>
        <w:tc>
          <w:tcPr>
            <w:tcW w:w="1320" w:type="dxa"/>
            <w:shd w:val="clear" w:color="auto" w:fill="FFFFFF"/>
            <w:noWrap/>
            <w:vAlign w:val="center"/>
          </w:tcPr>
          <w:p w14:paraId="175D5392">
            <w:pPr>
              <w:widowControl/>
              <w:spacing w:line="360" w:lineRule="auto"/>
              <w:jc w:val="left"/>
              <w:rPr>
                <w:rFonts w:ascii="宋体" w:hAnsi="宋体" w:cs="宋体"/>
                <w:color w:val="000000" w:themeColor="text1"/>
                <w:kern w:val="0"/>
                <w:szCs w:val="21"/>
              </w:rPr>
            </w:pPr>
          </w:p>
        </w:tc>
      </w:tr>
      <w:tr w14:paraId="7F51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7716361">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14</w:t>
            </w:r>
          </w:p>
        </w:tc>
        <w:tc>
          <w:tcPr>
            <w:tcW w:w="3402" w:type="dxa"/>
            <w:shd w:val="clear" w:color="auto" w:fill="FFFFFF"/>
            <w:vAlign w:val="center"/>
          </w:tcPr>
          <w:p w14:paraId="63FE5C2C">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供应商供苏州金龙配件标识及包装带有供应商名称、品牌、联系信息等标记</w:t>
            </w:r>
          </w:p>
        </w:tc>
        <w:tc>
          <w:tcPr>
            <w:tcW w:w="2977" w:type="dxa"/>
            <w:shd w:val="clear" w:color="auto" w:fill="FFFFFF"/>
            <w:noWrap/>
            <w:vAlign w:val="center"/>
          </w:tcPr>
          <w:p w14:paraId="3022FF51">
            <w:pPr>
              <w:pStyle w:val="3"/>
              <w:snapToGrid w:val="0"/>
              <w:ind w:firstLine="0"/>
              <w:jc w:val="left"/>
              <w:rPr>
                <w:rFonts w:hint="default" w:hAnsi="宋体"/>
                <w:color w:val="000000" w:themeColor="text1"/>
                <w:sz w:val="21"/>
                <w:szCs w:val="21"/>
              </w:rPr>
            </w:pPr>
            <w:r>
              <w:rPr>
                <w:rFonts w:hAnsi="宋体" w:cs="宋体"/>
                <w:color w:val="000000" w:themeColor="text1"/>
                <w:kern w:val="0"/>
                <w:sz w:val="21"/>
                <w:szCs w:val="21"/>
              </w:rPr>
              <w:t>按照</w:t>
            </w:r>
            <w:r>
              <w:rPr>
                <w:rFonts w:hAnsi="宋体"/>
                <w:color w:val="000000" w:themeColor="text1"/>
                <w:sz w:val="21"/>
                <w:szCs w:val="21"/>
              </w:rPr>
              <w:t>2000元/项配件进行索赔。</w:t>
            </w:r>
          </w:p>
        </w:tc>
        <w:tc>
          <w:tcPr>
            <w:tcW w:w="1377" w:type="dxa"/>
            <w:shd w:val="clear" w:color="auto" w:fill="FFFFFF"/>
            <w:noWrap/>
            <w:vAlign w:val="center"/>
          </w:tcPr>
          <w:p w14:paraId="49A99F84">
            <w:pPr>
              <w:widowControl/>
              <w:spacing w:line="36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客服部/品管部/物流部/供应部</w:t>
            </w:r>
          </w:p>
        </w:tc>
        <w:tc>
          <w:tcPr>
            <w:tcW w:w="1320" w:type="dxa"/>
            <w:shd w:val="clear" w:color="auto" w:fill="FFFFFF"/>
            <w:noWrap/>
            <w:vAlign w:val="center"/>
          </w:tcPr>
          <w:p w14:paraId="0B5963AC">
            <w:pPr>
              <w:widowControl/>
              <w:spacing w:line="360" w:lineRule="auto"/>
              <w:jc w:val="left"/>
              <w:rPr>
                <w:rFonts w:ascii="宋体" w:hAnsi="宋体" w:cs="宋体"/>
                <w:color w:val="000000" w:themeColor="text1"/>
                <w:kern w:val="0"/>
                <w:szCs w:val="21"/>
              </w:rPr>
            </w:pPr>
          </w:p>
        </w:tc>
      </w:tr>
      <w:tr w14:paraId="7188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72C35AE6">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15</w:t>
            </w:r>
          </w:p>
        </w:tc>
        <w:tc>
          <w:tcPr>
            <w:tcW w:w="3402" w:type="dxa"/>
            <w:shd w:val="clear" w:color="auto" w:fill="FFFFFF"/>
            <w:vAlign w:val="center"/>
          </w:tcPr>
          <w:p w14:paraId="4B8318AC">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供应商所供苏州金龙物料在淘汰后10年内不能提供的。</w:t>
            </w:r>
          </w:p>
        </w:tc>
        <w:tc>
          <w:tcPr>
            <w:tcW w:w="2977" w:type="dxa"/>
            <w:shd w:val="clear" w:color="auto" w:fill="FFFFFF"/>
            <w:noWrap/>
            <w:vAlign w:val="center"/>
          </w:tcPr>
          <w:p w14:paraId="7F5666B5">
            <w:pPr>
              <w:widowControl/>
              <w:spacing w:line="360" w:lineRule="auto"/>
              <w:jc w:val="center"/>
              <w:rPr>
                <w:rFonts w:ascii="宋体" w:hAnsi="宋体"/>
                <w:color w:val="000000" w:themeColor="text1"/>
                <w:szCs w:val="21"/>
              </w:rPr>
            </w:pPr>
            <w:r>
              <w:rPr>
                <w:rFonts w:hint="eastAsia" w:ascii="宋体" w:hAnsi="宋体"/>
                <w:color w:val="000000" w:themeColor="text1"/>
                <w:szCs w:val="21"/>
              </w:rPr>
              <w:t>苏州金龙有权向第三方采购或采取其他有效手段解决。由此产生的费用由供应商全额承担</w:t>
            </w:r>
          </w:p>
        </w:tc>
        <w:tc>
          <w:tcPr>
            <w:tcW w:w="1377" w:type="dxa"/>
            <w:shd w:val="clear" w:color="auto" w:fill="FFFFFF"/>
            <w:noWrap/>
            <w:vAlign w:val="center"/>
          </w:tcPr>
          <w:p w14:paraId="30AF20FF">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客服部/配件供应商管理工程师</w:t>
            </w:r>
          </w:p>
        </w:tc>
        <w:tc>
          <w:tcPr>
            <w:tcW w:w="1320" w:type="dxa"/>
            <w:shd w:val="clear" w:color="auto" w:fill="FFFFFF"/>
            <w:noWrap/>
            <w:vAlign w:val="center"/>
          </w:tcPr>
          <w:p w14:paraId="49919833">
            <w:pPr>
              <w:widowControl/>
              <w:spacing w:line="360" w:lineRule="auto"/>
              <w:jc w:val="left"/>
              <w:rPr>
                <w:rFonts w:ascii="宋体" w:hAnsi="宋体" w:cs="宋体"/>
                <w:color w:val="000000" w:themeColor="text1"/>
                <w:kern w:val="0"/>
                <w:szCs w:val="21"/>
              </w:rPr>
            </w:pPr>
          </w:p>
        </w:tc>
      </w:tr>
      <w:tr w14:paraId="26234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246A2A17">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16</w:t>
            </w:r>
          </w:p>
        </w:tc>
        <w:tc>
          <w:tcPr>
            <w:tcW w:w="3402" w:type="dxa"/>
            <w:shd w:val="clear" w:color="auto" w:fill="FFFFFF"/>
            <w:vAlign w:val="center"/>
          </w:tcPr>
          <w:p w14:paraId="17DD7C5D">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供应商原因导致年度价格失效供应商开票时间超过苏州金龙要求的时间。</w:t>
            </w:r>
          </w:p>
        </w:tc>
        <w:tc>
          <w:tcPr>
            <w:tcW w:w="2977" w:type="dxa"/>
            <w:shd w:val="clear" w:color="auto" w:fill="FFFFFF"/>
            <w:noWrap/>
            <w:vAlign w:val="center"/>
          </w:tcPr>
          <w:p w14:paraId="26F8C49E">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处以发票总金额10%的考核</w:t>
            </w:r>
          </w:p>
        </w:tc>
        <w:tc>
          <w:tcPr>
            <w:tcW w:w="1377" w:type="dxa"/>
            <w:shd w:val="clear" w:color="auto" w:fill="FFFFFF"/>
            <w:noWrap/>
            <w:vAlign w:val="center"/>
          </w:tcPr>
          <w:p w14:paraId="309BAA28">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客服部/配件采购工程师</w:t>
            </w:r>
          </w:p>
        </w:tc>
        <w:tc>
          <w:tcPr>
            <w:tcW w:w="1320" w:type="dxa"/>
            <w:shd w:val="clear" w:color="auto" w:fill="FFFFFF"/>
            <w:noWrap/>
            <w:vAlign w:val="center"/>
          </w:tcPr>
          <w:p w14:paraId="5EDB8251">
            <w:pPr>
              <w:widowControl/>
              <w:spacing w:line="360" w:lineRule="auto"/>
              <w:jc w:val="left"/>
              <w:rPr>
                <w:rFonts w:ascii="宋体" w:hAnsi="宋体" w:cs="宋体"/>
                <w:color w:val="000000" w:themeColor="text1"/>
                <w:kern w:val="0"/>
                <w:szCs w:val="21"/>
              </w:rPr>
            </w:pPr>
          </w:p>
        </w:tc>
      </w:tr>
      <w:tr w14:paraId="2E6F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32CF1D90">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17</w:t>
            </w:r>
          </w:p>
        </w:tc>
        <w:tc>
          <w:tcPr>
            <w:tcW w:w="3402" w:type="dxa"/>
            <w:shd w:val="clear" w:color="auto" w:fill="FFFFFF"/>
            <w:vAlign w:val="center"/>
          </w:tcPr>
          <w:p w14:paraId="4EADE65E">
            <w:pPr>
              <w:widowControl/>
              <w:spacing w:line="360" w:lineRule="auto"/>
              <w:jc w:val="left"/>
              <w:rPr>
                <w:rFonts w:ascii="宋体" w:hAnsi="宋体"/>
                <w:color w:val="000000" w:themeColor="text1"/>
                <w:szCs w:val="21"/>
              </w:rPr>
            </w:pPr>
            <w:r>
              <w:rPr>
                <w:rFonts w:ascii="宋体" w:hAnsi="宋体"/>
                <w:color w:val="000000" w:themeColor="text1"/>
                <w:szCs w:val="21"/>
              </w:rPr>
              <w:t>供应商收到苏州金龙服务支持工程师或驻外服务工程师的服务需求信息（传真、邮件、电话等）后，给出明确的处理方案或处理意见的时间大于4小时</w:t>
            </w:r>
            <w:r>
              <w:rPr>
                <w:rFonts w:hint="eastAsia" w:ascii="宋体" w:hAnsi="宋体"/>
                <w:color w:val="000000" w:themeColor="text1"/>
                <w:szCs w:val="21"/>
              </w:rPr>
              <w:t>。</w:t>
            </w:r>
          </w:p>
        </w:tc>
        <w:tc>
          <w:tcPr>
            <w:tcW w:w="2977" w:type="dxa"/>
            <w:shd w:val="clear" w:color="auto" w:fill="FFFFFF"/>
            <w:noWrap/>
            <w:vAlign w:val="center"/>
          </w:tcPr>
          <w:p w14:paraId="006B81D0">
            <w:pPr>
              <w:widowControl/>
              <w:spacing w:line="360" w:lineRule="auto"/>
              <w:jc w:val="center"/>
              <w:rPr>
                <w:rFonts w:ascii="宋体" w:hAnsi="宋体"/>
                <w:color w:val="000000" w:themeColor="text1"/>
                <w:szCs w:val="21"/>
              </w:rPr>
            </w:pPr>
            <w:r>
              <w:rPr>
                <w:rFonts w:ascii="宋体" w:hAnsi="宋体"/>
                <w:color w:val="000000" w:themeColor="text1"/>
                <w:szCs w:val="21"/>
              </w:rPr>
              <w:t>服务绩效扣1分</w:t>
            </w:r>
          </w:p>
        </w:tc>
        <w:tc>
          <w:tcPr>
            <w:tcW w:w="1377" w:type="dxa"/>
            <w:shd w:val="clear" w:color="auto" w:fill="FFFFFF"/>
            <w:noWrap/>
            <w:vAlign w:val="center"/>
          </w:tcPr>
          <w:p w14:paraId="375FBDFD">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6F0859F1">
            <w:pPr>
              <w:widowControl/>
              <w:spacing w:line="360" w:lineRule="auto"/>
              <w:jc w:val="left"/>
              <w:rPr>
                <w:rFonts w:ascii="宋体" w:hAnsi="宋体" w:cs="宋体"/>
                <w:color w:val="000000" w:themeColor="text1"/>
                <w:kern w:val="0"/>
                <w:szCs w:val="21"/>
              </w:rPr>
            </w:pPr>
          </w:p>
        </w:tc>
      </w:tr>
      <w:tr w14:paraId="0E4D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01A9A949">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18</w:t>
            </w:r>
          </w:p>
        </w:tc>
        <w:tc>
          <w:tcPr>
            <w:tcW w:w="3402" w:type="dxa"/>
            <w:shd w:val="clear" w:color="auto" w:fill="FFFFFF"/>
            <w:vAlign w:val="center"/>
          </w:tcPr>
          <w:p w14:paraId="64D001BA">
            <w:pPr>
              <w:widowControl/>
              <w:spacing w:line="360" w:lineRule="auto"/>
              <w:jc w:val="left"/>
              <w:rPr>
                <w:rFonts w:ascii="宋体" w:hAnsi="宋体"/>
                <w:color w:val="000000" w:themeColor="text1"/>
                <w:szCs w:val="21"/>
              </w:rPr>
            </w:pPr>
            <w:r>
              <w:rPr>
                <w:rFonts w:ascii="宋体" w:hAnsi="宋体"/>
                <w:color w:val="000000" w:themeColor="text1"/>
                <w:szCs w:val="21"/>
              </w:rPr>
              <w:t>紧急情况下，供应商收到苏州金龙紧急服务需求时，给出明确的处理方案或处理意见的时间大于1小时</w:t>
            </w:r>
            <w:r>
              <w:rPr>
                <w:rFonts w:hint="eastAsia" w:ascii="宋体" w:hAnsi="宋体"/>
                <w:color w:val="000000" w:themeColor="text1"/>
                <w:szCs w:val="21"/>
              </w:rPr>
              <w:t>。</w:t>
            </w:r>
          </w:p>
        </w:tc>
        <w:tc>
          <w:tcPr>
            <w:tcW w:w="2977" w:type="dxa"/>
            <w:shd w:val="clear" w:color="auto" w:fill="FFFFFF"/>
            <w:noWrap/>
            <w:vAlign w:val="center"/>
          </w:tcPr>
          <w:p w14:paraId="1ADF1CDB">
            <w:pPr>
              <w:pStyle w:val="27"/>
              <w:ind w:firstLine="0"/>
              <w:jc w:val="center"/>
              <w:rPr>
                <w:rFonts w:hAnsi="宋体"/>
                <w:color w:val="000000" w:themeColor="text1"/>
                <w:sz w:val="21"/>
                <w:szCs w:val="21"/>
              </w:rPr>
            </w:pPr>
            <w:r>
              <w:rPr>
                <w:rFonts w:hAnsi="宋体"/>
                <w:color w:val="000000" w:themeColor="text1"/>
                <w:sz w:val="21"/>
                <w:szCs w:val="21"/>
              </w:rPr>
              <w:t>服务绩效扣1分/每次，反之加2分/每次</w:t>
            </w:r>
          </w:p>
        </w:tc>
        <w:tc>
          <w:tcPr>
            <w:tcW w:w="1377" w:type="dxa"/>
            <w:shd w:val="clear" w:color="auto" w:fill="FFFFFF"/>
            <w:noWrap/>
            <w:vAlign w:val="center"/>
          </w:tcPr>
          <w:p w14:paraId="7C62CC28">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753F091F">
            <w:pPr>
              <w:widowControl/>
              <w:spacing w:line="360" w:lineRule="auto"/>
              <w:jc w:val="left"/>
              <w:rPr>
                <w:rFonts w:ascii="宋体" w:hAnsi="宋体" w:cs="宋体"/>
                <w:color w:val="000000" w:themeColor="text1"/>
                <w:kern w:val="0"/>
                <w:szCs w:val="21"/>
              </w:rPr>
            </w:pPr>
          </w:p>
        </w:tc>
      </w:tr>
      <w:tr w14:paraId="4C5FE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5EBE2240">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19</w:t>
            </w:r>
          </w:p>
        </w:tc>
        <w:tc>
          <w:tcPr>
            <w:tcW w:w="3402" w:type="dxa"/>
            <w:shd w:val="clear" w:color="auto" w:fill="FFFFFF"/>
            <w:vAlign w:val="center"/>
          </w:tcPr>
          <w:p w14:paraId="3F34E17E">
            <w:pPr>
              <w:widowControl/>
              <w:spacing w:line="360" w:lineRule="auto"/>
              <w:jc w:val="left"/>
              <w:rPr>
                <w:rFonts w:ascii="宋体" w:hAnsi="宋体"/>
                <w:color w:val="000000" w:themeColor="text1"/>
                <w:szCs w:val="21"/>
              </w:rPr>
            </w:pPr>
            <w:r>
              <w:rPr>
                <w:rFonts w:ascii="宋体" w:hAnsi="宋体"/>
                <w:color w:val="000000" w:themeColor="text1"/>
                <w:szCs w:val="21"/>
              </w:rPr>
              <w:t>供应商协助处理的售后服务事件，客户对事件处理速度不满</w:t>
            </w:r>
            <w:r>
              <w:rPr>
                <w:rFonts w:hint="eastAsia" w:ascii="宋体" w:hAnsi="宋体"/>
                <w:color w:val="000000" w:themeColor="text1"/>
                <w:szCs w:val="21"/>
              </w:rPr>
              <w:t>。</w:t>
            </w:r>
          </w:p>
        </w:tc>
        <w:tc>
          <w:tcPr>
            <w:tcW w:w="2977" w:type="dxa"/>
            <w:shd w:val="clear" w:color="auto" w:fill="FFFFFF"/>
            <w:noWrap/>
            <w:vAlign w:val="center"/>
          </w:tcPr>
          <w:p w14:paraId="6ABB7C5B">
            <w:pPr>
              <w:widowControl/>
              <w:spacing w:line="360" w:lineRule="auto"/>
              <w:jc w:val="center"/>
              <w:rPr>
                <w:rFonts w:ascii="宋体" w:hAnsi="宋体"/>
                <w:color w:val="000000" w:themeColor="text1"/>
                <w:szCs w:val="21"/>
              </w:rPr>
            </w:pPr>
            <w:r>
              <w:rPr>
                <w:rFonts w:ascii="宋体" w:hAnsi="宋体"/>
                <w:color w:val="000000" w:themeColor="text1"/>
                <w:szCs w:val="21"/>
              </w:rPr>
              <w:t>服务绩效</w:t>
            </w:r>
            <w:r>
              <w:rPr>
                <w:rFonts w:hint="eastAsia" w:ascii="宋体" w:hAnsi="宋体"/>
                <w:color w:val="000000" w:themeColor="text1"/>
                <w:szCs w:val="21"/>
              </w:rPr>
              <w:t>扣</w:t>
            </w:r>
            <w:r>
              <w:rPr>
                <w:rFonts w:ascii="宋体" w:hAnsi="宋体"/>
                <w:color w:val="000000" w:themeColor="text1"/>
                <w:szCs w:val="21"/>
              </w:rPr>
              <w:t>2分/每事件</w:t>
            </w:r>
          </w:p>
        </w:tc>
        <w:tc>
          <w:tcPr>
            <w:tcW w:w="1377" w:type="dxa"/>
            <w:shd w:val="clear" w:color="auto" w:fill="FFFFFF"/>
            <w:noWrap/>
            <w:vAlign w:val="center"/>
          </w:tcPr>
          <w:p w14:paraId="359EAA3E">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22F5D7AE">
            <w:pPr>
              <w:widowControl/>
              <w:spacing w:line="360" w:lineRule="auto"/>
              <w:jc w:val="left"/>
              <w:rPr>
                <w:rFonts w:ascii="宋体" w:hAnsi="宋体" w:cs="宋体"/>
                <w:color w:val="000000" w:themeColor="text1"/>
                <w:kern w:val="0"/>
                <w:szCs w:val="21"/>
              </w:rPr>
            </w:pPr>
          </w:p>
        </w:tc>
      </w:tr>
      <w:tr w14:paraId="35B2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16730254">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20</w:t>
            </w:r>
          </w:p>
        </w:tc>
        <w:tc>
          <w:tcPr>
            <w:tcW w:w="3402" w:type="dxa"/>
            <w:shd w:val="clear" w:color="auto" w:fill="FFFFFF"/>
            <w:vAlign w:val="center"/>
          </w:tcPr>
          <w:p w14:paraId="552CFBAC">
            <w:pPr>
              <w:widowControl/>
              <w:spacing w:line="360" w:lineRule="auto"/>
              <w:jc w:val="left"/>
              <w:rPr>
                <w:rFonts w:ascii="宋体" w:hAnsi="宋体"/>
                <w:color w:val="000000" w:themeColor="text1"/>
                <w:szCs w:val="21"/>
              </w:rPr>
            </w:pPr>
            <w:r>
              <w:rPr>
                <w:rFonts w:ascii="宋体" w:hAnsi="宋体"/>
                <w:color w:val="000000" w:themeColor="text1"/>
                <w:szCs w:val="21"/>
              </w:rPr>
              <w:t>供应商协助处理的售后服务事件客户对处理结果不满意</w:t>
            </w:r>
            <w:r>
              <w:rPr>
                <w:rFonts w:hint="eastAsia" w:ascii="宋体" w:hAnsi="宋体"/>
                <w:color w:val="000000" w:themeColor="text1"/>
                <w:szCs w:val="21"/>
              </w:rPr>
              <w:t>。</w:t>
            </w:r>
          </w:p>
        </w:tc>
        <w:tc>
          <w:tcPr>
            <w:tcW w:w="2977" w:type="dxa"/>
            <w:shd w:val="clear" w:color="auto" w:fill="FFFFFF"/>
            <w:noWrap/>
            <w:vAlign w:val="center"/>
          </w:tcPr>
          <w:p w14:paraId="39BFE74D">
            <w:pPr>
              <w:widowControl/>
              <w:spacing w:line="360" w:lineRule="auto"/>
              <w:jc w:val="center"/>
              <w:rPr>
                <w:rFonts w:ascii="宋体" w:hAnsi="宋体"/>
                <w:color w:val="000000" w:themeColor="text1"/>
                <w:szCs w:val="21"/>
              </w:rPr>
            </w:pPr>
            <w:r>
              <w:rPr>
                <w:rFonts w:ascii="宋体" w:hAnsi="宋体"/>
                <w:color w:val="000000" w:themeColor="text1"/>
                <w:szCs w:val="21"/>
              </w:rPr>
              <w:t>服务绩效扣5分/每事件</w:t>
            </w:r>
          </w:p>
        </w:tc>
        <w:tc>
          <w:tcPr>
            <w:tcW w:w="1377" w:type="dxa"/>
            <w:shd w:val="clear" w:color="auto" w:fill="FFFFFF"/>
            <w:noWrap/>
            <w:vAlign w:val="center"/>
          </w:tcPr>
          <w:p w14:paraId="12194B71">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6F6FF90D">
            <w:pPr>
              <w:widowControl/>
              <w:spacing w:line="360" w:lineRule="auto"/>
              <w:jc w:val="left"/>
              <w:rPr>
                <w:rFonts w:ascii="宋体" w:hAnsi="宋体" w:cs="宋体"/>
                <w:color w:val="000000" w:themeColor="text1"/>
                <w:kern w:val="0"/>
                <w:szCs w:val="21"/>
              </w:rPr>
            </w:pPr>
          </w:p>
        </w:tc>
      </w:tr>
      <w:tr w14:paraId="7870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17442C8A">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21</w:t>
            </w:r>
          </w:p>
        </w:tc>
        <w:tc>
          <w:tcPr>
            <w:tcW w:w="3402" w:type="dxa"/>
            <w:shd w:val="clear" w:color="auto" w:fill="FFFFFF"/>
            <w:vAlign w:val="center"/>
          </w:tcPr>
          <w:p w14:paraId="2D6D7AE8">
            <w:pPr>
              <w:widowControl/>
              <w:spacing w:line="360" w:lineRule="auto"/>
              <w:jc w:val="left"/>
              <w:rPr>
                <w:rFonts w:ascii="宋体" w:hAnsi="宋体"/>
                <w:color w:val="000000" w:themeColor="text1"/>
                <w:szCs w:val="21"/>
              </w:rPr>
            </w:pPr>
            <w:r>
              <w:rPr>
                <w:rFonts w:ascii="宋体" w:hAnsi="宋体"/>
                <w:color w:val="000000" w:themeColor="text1"/>
                <w:szCs w:val="21"/>
              </w:rPr>
              <w:t>客户对供应商协助处理的售后服务事件给予表扬（书面）</w:t>
            </w:r>
            <w:r>
              <w:rPr>
                <w:rFonts w:hint="eastAsia" w:ascii="宋体" w:hAnsi="宋体"/>
                <w:color w:val="000000" w:themeColor="text1"/>
                <w:szCs w:val="21"/>
              </w:rPr>
              <w:t>。</w:t>
            </w:r>
          </w:p>
        </w:tc>
        <w:tc>
          <w:tcPr>
            <w:tcW w:w="2977" w:type="dxa"/>
            <w:shd w:val="clear" w:color="auto" w:fill="FFFFFF"/>
            <w:noWrap/>
            <w:vAlign w:val="center"/>
          </w:tcPr>
          <w:p w14:paraId="5C10E8C7">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服务绩效加</w:t>
            </w:r>
            <w:r>
              <w:rPr>
                <w:rFonts w:ascii="宋体" w:hAnsi="宋体"/>
                <w:color w:val="000000" w:themeColor="text1"/>
                <w:szCs w:val="21"/>
              </w:rPr>
              <w:t>5分/每事件</w:t>
            </w:r>
          </w:p>
        </w:tc>
        <w:tc>
          <w:tcPr>
            <w:tcW w:w="1377" w:type="dxa"/>
            <w:shd w:val="clear" w:color="auto" w:fill="FFFFFF"/>
            <w:noWrap/>
            <w:vAlign w:val="center"/>
          </w:tcPr>
          <w:p w14:paraId="0FBEF39C">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2B946EEE">
            <w:pPr>
              <w:widowControl/>
              <w:spacing w:line="360" w:lineRule="auto"/>
              <w:jc w:val="left"/>
              <w:rPr>
                <w:rFonts w:ascii="宋体" w:hAnsi="宋体" w:cs="宋体"/>
                <w:color w:val="000000" w:themeColor="text1"/>
                <w:kern w:val="0"/>
                <w:szCs w:val="21"/>
              </w:rPr>
            </w:pPr>
          </w:p>
        </w:tc>
      </w:tr>
      <w:tr w14:paraId="4D078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0C925ED9">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22</w:t>
            </w:r>
          </w:p>
        </w:tc>
        <w:tc>
          <w:tcPr>
            <w:tcW w:w="3402" w:type="dxa"/>
            <w:shd w:val="clear" w:color="auto" w:fill="FFFFFF"/>
            <w:vAlign w:val="center"/>
          </w:tcPr>
          <w:p w14:paraId="664D68F2">
            <w:pPr>
              <w:widowControl/>
              <w:spacing w:line="360" w:lineRule="auto"/>
              <w:jc w:val="left"/>
              <w:rPr>
                <w:rFonts w:ascii="宋体" w:hAnsi="宋体"/>
                <w:color w:val="000000" w:themeColor="text1"/>
                <w:szCs w:val="21"/>
              </w:rPr>
            </w:pPr>
            <w:r>
              <w:rPr>
                <w:rFonts w:ascii="宋体" w:hAnsi="宋体"/>
                <w:color w:val="000000" w:themeColor="text1"/>
                <w:szCs w:val="21"/>
              </w:rPr>
              <w:t>苏州金龙服务体系有调度供应商协助完成产品售后服务工作的权利，供应商接到苏州金龙服务体系的服务要求（不限于电话、传真、邮件、网上公告、书面通知等形式），对诸如现场服务、质量纠纷的会谈、诉讼等，供应商未按苏州金龙要求的期限和内容给予积极响应并有效处理</w:t>
            </w:r>
            <w:r>
              <w:rPr>
                <w:rFonts w:hint="eastAsia" w:ascii="宋体" w:hAnsi="宋体"/>
                <w:color w:val="000000" w:themeColor="text1"/>
                <w:szCs w:val="21"/>
              </w:rPr>
              <w:t>。</w:t>
            </w:r>
          </w:p>
        </w:tc>
        <w:tc>
          <w:tcPr>
            <w:tcW w:w="2977" w:type="dxa"/>
            <w:shd w:val="clear" w:color="auto" w:fill="FFFFFF"/>
            <w:noWrap/>
            <w:vAlign w:val="center"/>
          </w:tcPr>
          <w:p w14:paraId="42BFFC02">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服务绩效</w:t>
            </w:r>
            <w:r>
              <w:rPr>
                <w:rFonts w:ascii="宋体" w:hAnsi="宋体"/>
                <w:color w:val="000000" w:themeColor="text1"/>
                <w:szCs w:val="21"/>
              </w:rPr>
              <w:t>扣20分/每次</w:t>
            </w:r>
          </w:p>
        </w:tc>
        <w:tc>
          <w:tcPr>
            <w:tcW w:w="1377" w:type="dxa"/>
            <w:shd w:val="clear" w:color="auto" w:fill="FFFFFF"/>
            <w:noWrap/>
            <w:vAlign w:val="center"/>
          </w:tcPr>
          <w:p w14:paraId="5A33A860">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0ACF47F1">
            <w:pPr>
              <w:widowControl/>
              <w:spacing w:line="360" w:lineRule="auto"/>
              <w:jc w:val="left"/>
              <w:rPr>
                <w:rFonts w:ascii="宋体" w:hAnsi="宋体" w:cs="宋体"/>
                <w:color w:val="000000" w:themeColor="text1"/>
                <w:kern w:val="0"/>
                <w:szCs w:val="21"/>
              </w:rPr>
            </w:pPr>
          </w:p>
        </w:tc>
      </w:tr>
      <w:tr w14:paraId="7947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35A964DB">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23</w:t>
            </w:r>
          </w:p>
        </w:tc>
        <w:tc>
          <w:tcPr>
            <w:tcW w:w="3402" w:type="dxa"/>
            <w:shd w:val="clear" w:color="auto" w:fill="FFFFFF"/>
            <w:vAlign w:val="center"/>
          </w:tcPr>
          <w:p w14:paraId="3E8F03E5">
            <w:pPr>
              <w:widowControl/>
              <w:spacing w:line="360" w:lineRule="auto"/>
              <w:jc w:val="left"/>
              <w:rPr>
                <w:rFonts w:ascii="宋体" w:hAnsi="宋体"/>
                <w:color w:val="000000" w:themeColor="text1"/>
                <w:szCs w:val="21"/>
              </w:rPr>
            </w:pPr>
            <w:r>
              <w:rPr>
                <w:rFonts w:ascii="宋体" w:hAnsi="宋体"/>
                <w:color w:val="000000" w:themeColor="text1"/>
                <w:szCs w:val="21"/>
              </w:rPr>
              <w:t>供应商外出服务或处理投诉等终结后三日内，未书面报告形式将处理结果传真至苏州金龙服务体系存档的</w:t>
            </w:r>
            <w:r>
              <w:rPr>
                <w:rFonts w:hint="eastAsia" w:ascii="宋体" w:hAnsi="宋体"/>
                <w:color w:val="000000" w:themeColor="text1"/>
                <w:szCs w:val="21"/>
              </w:rPr>
              <w:t>。</w:t>
            </w:r>
          </w:p>
        </w:tc>
        <w:tc>
          <w:tcPr>
            <w:tcW w:w="2977" w:type="dxa"/>
            <w:shd w:val="clear" w:color="auto" w:fill="FFFFFF"/>
            <w:noWrap/>
            <w:vAlign w:val="center"/>
          </w:tcPr>
          <w:p w14:paraId="0F9535F8">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服务绩效</w:t>
            </w:r>
            <w:r>
              <w:rPr>
                <w:rFonts w:ascii="宋体" w:hAnsi="宋体"/>
                <w:color w:val="000000" w:themeColor="text1"/>
                <w:szCs w:val="21"/>
              </w:rPr>
              <w:t>扣10/每次</w:t>
            </w:r>
          </w:p>
        </w:tc>
        <w:tc>
          <w:tcPr>
            <w:tcW w:w="1377" w:type="dxa"/>
            <w:shd w:val="clear" w:color="auto" w:fill="FFFFFF"/>
            <w:noWrap/>
            <w:vAlign w:val="center"/>
          </w:tcPr>
          <w:p w14:paraId="6A443366">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5574B4C2">
            <w:pPr>
              <w:widowControl/>
              <w:spacing w:line="360" w:lineRule="auto"/>
              <w:jc w:val="left"/>
              <w:rPr>
                <w:rFonts w:ascii="宋体" w:hAnsi="宋体" w:cs="宋体"/>
                <w:color w:val="000000" w:themeColor="text1"/>
                <w:kern w:val="0"/>
                <w:szCs w:val="21"/>
              </w:rPr>
            </w:pPr>
          </w:p>
        </w:tc>
      </w:tr>
      <w:tr w14:paraId="0D92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098FCD2">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24</w:t>
            </w:r>
          </w:p>
        </w:tc>
        <w:tc>
          <w:tcPr>
            <w:tcW w:w="3402" w:type="dxa"/>
            <w:shd w:val="clear" w:color="auto" w:fill="FFFFFF"/>
            <w:vAlign w:val="center"/>
          </w:tcPr>
          <w:p w14:paraId="4827E2A0">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供应商协助苏州金龙开展售后服务活动时，对于明确不是客户责任或无法明确判定为客户责任的保修活动，供应商以故障责任判定不清或责任判定有异议（连带故障）为由，拒绝为客户服务。</w:t>
            </w:r>
          </w:p>
        </w:tc>
        <w:tc>
          <w:tcPr>
            <w:tcW w:w="2977" w:type="dxa"/>
            <w:shd w:val="clear" w:color="auto" w:fill="FFFFFF"/>
            <w:noWrap/>
            <w:vAlign w:val="center"/>
          </w:tcPr>
          <w:p w14:paraId="3D2DE1E7">
            <w:pPr>
              <w:widowControl/>
              <w:spacing w:line="360" w:lineRule="auto"/>
              <w:jc w:val="center"/>
              <w:rPr>
                <w:rFonts w:ascii="宋体" w:hAnsi="宋体"/>
                <w:color w:val="000000" w:themeColor="text1"/>
                <w:szCs w:val="21"/>
              </w:rPr>
            </w:pPr>
            <w:r>
              <w:rPr>
                <w:rFonts w:hint="eastAsia" w:ascii="宋体" w:hAnsi="宋体"/>
                <w:color w:val="000000" w:themeColor="text1"/>
                <w:szCs w:val="21"/>
              </w:rPr>
              <w:t>服务绩效扣10分/每次，造成事态扩大，扣20分/次</w:t>
            </w:r>
          </w:p>
        </w:tc>
        <w:tc>
          <w:tcPr>
            <w:tcW w:w="1377" w:type="dxa"/>
            <w:shd w:val="clear" w:color="auto" w:fill="FFFFFF"/>
            <w:noWrap/>
            <w:vAlign w:val="center"/>
          </w:tcPr>
          <w:p w14:paraId="2440233A">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客服部/服务支持工程师</w:t>
            </w:r>
          </w:p>
        </w:tc>
        <w:tc>
          <w:tcPr>
            <w:tcW w:w="1320" w:type="dxa"/>
            <w:shd w:val="clear" w:color="auto" w:fill="FFFFFF"/>
            <w:noWrap/>
            <w:vAlign w:val="center"/>
          </w:tcPr>
          <w:p w14:paraId="4B942669">
            <w:pPr>
              <w:widowControl/>
              <w:spacing w:line="360" w:lineRule="auto"/>
              <w:jc w:val="left"/>
              <w:rPr>
                <w:rFonts w:ascii="宋体" w:hAnsi="宋体" w:cs="宋体"/>
                <w:color w:val="000000" w:themeColor="text1"/>
                <w:kern w:val="0"/>
                <w:szCs w:val="21"/>
              </w:rPr>
            </w:pPr>
          </w:p>
        </w:tc>
      </w:tr>
      <w:tr w14:paraId="7777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4CA83F1">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25</w:t>
            </w:r>
          </w:p>
        </w:tc>
        <w:tc>
          <w:tcPr>
            <w:tcW w:w="3402" w:type="dxa"/>
            <w:shd w:val="clear" w:color="auto" w:fill="FFFFFF"/>
            <w:vAlign w:val="center"/>
          </w:tcPr>
          <w:p w14:paraId="283492BD">
            <w:pPr>
              <w:widowControl/>
              <w:spacing w:line="360" w:lineRule="auto"/>
              <w:jc w:val="left"/>
              <w:rPr>
                <w:rFonts w:ascii="宋体" w:hAnsi="宋体"/>
                <w:color w:val="000000" w:themeColor="text1"/>
                <w:szCs w:val="21"/>
              </w:rPr>
            </w:pPr>
            <w:r>
              <w:rPr>
                <w:rFonts w:hint="eastAsia" w:ascii="宋体" w:hAnsi="宋体"/>
                <w:color w:val="000000" w:themeColor="text1"/>
                <w:szCs w:val="21"/>
              </w:rPr>
              <w:t>应急服务的配件交付：供应商拒不积极配合苏州金龙配件采购工程师处理急件。</w:t>
            </w:r>
          </w:p>
        </w:tc>
        <w:tc>
          <w:tcPr>
            <w:tcW w:w="2977" w:type="dxa"/>
            <w:shd w:val="clear" w:color="auto" w:fill="FFFFFF"/>
            <w:noWrap/>
            <w:vAlign w:val="center"/>
          </w:tcPr>
          <w:p w14:paraId="03EE1C81">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服务绩效</w:t>
            </w:r>
            <w:r>
              <w:rPr>
                <w:rFonts w:hint="eastAsia" w:ascii="宋体" w:hAnsi="宋体"/>
                <w:color w:val="000000" w:themeColor="text1"/>
                <w:szCs w:val="21"/>
              </w:rPr>
              <w:t>扣20分，反之加5分</w:t>
            </w:r>
          </w:p>
        </w:tc>
        <w:tc>
          <w:tcPr>
            <w:tcW w:w="1377" w:type="dxa"/>
            <w:shd w:val="clear" w:color="auto" w:fill="FFFFFF"/>
            <w:noWrap/>
            <w:vAlign w:val="center"/>
          </w:tcPr>
          <w:p w14:paraId="60C82B0C">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w:t>
            </w:r>
          </w:p>
        </w:tc>
        <w:tc>
          <w:tcPr>
            <w:tcW w:w="1320" w:type="dxa"/>
            <w:shd w:val="clear" w:color="auto" w:fill="FFFFFF"/>
            <w:noWrap/>
            <w:vAlign w:val="center"/>
          </w:tcPr>
          <w:p w14:paraId="7A284F4F">
            <w:pPr>
              <w:widowControl/>
              <w:spacing w:line="360" w:lineRule="auto"/>
              <w:jc w:val="left"/>
              <w:rPr>
                <w:rFonts w:ascii="宋体" w:hAnsi="宋体" w:cs="宋体"/>
                <w:color w:val="000000" w:themeColor="text1"/>
                <w:kern w:val="0"/>
                <w:szCs w:val="21"/>
              </w:rPr>
            </w:pPr>
          </w:p>
        </w:tc>
      </w:tr>
      <w:tr w14:paraId="13F48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1B8603B">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26</w:t>
            </w:r>
          </w:p>
        </w:tc>
        <w:tc>
          <w:tcPr>
            <w:tcW w:w="3402" w:type="dxa"/>
            <w:shd w:val="clear" w:color="auto" w:fill="FFFFFF"/>
            <w:vAlign w:val="center"/>
          </w:tcPr>
          <w:p w14:paraId="595098EA">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供应商的月度配件数量或项目交付率不满足苏州金龙要求的。</w:t>
            </w:r>
          </w:p>
        </w:tc>
        <w:tc>
          <w:tcPr>
            <w:tcW w:w="2977" w:type="dxa"/>
            <w:shd w:val="clear" w:color="auto" w:fill="FFFFFF"/>
            <w:noWrap/>
            <w:vAlign w:val="center"/>
          </w:tcPr>
          <w:p w14:paraId="04072EEA">
            <w:pPr>
              <w:spacing w:line="360" w:lineRule="auto"/>
              <w:jc w:val="center"/>
              <w:rPr>
                <w:rFonts w:ascii="宋体" w:hAnsi="宋体"/>
                <w:color w:val="000000" w:themeColor="text1"/>
                <w:szCs w:val="21"/>
              </w:rPr>
            </w:pPr>
            <w:r>
              <w:rPr>
                <w:rFonts w:hint="eastAsia" w:ascii="宋体" w:hAnsi="宋体" w:cs="宋体"/>
                <w:color w:val="000000" w:themeColor="text1"/>
                <w:kern w:val="0"/>
                <w:szCs w:val="21"/>
              </w:rPr>
              <w:t>交付率</w:t>
            </w:r>
            <w:r>
              <w:rPr>
                <w:rFonts w:hint="eastAsia" w:ascii="宋体" w:hAnsi="宋体"/>
                <w:color w:val="000000" w:themeColor="text1"/>
                <w:szCs w:val="21"/>
              </w:rPr>
              <w:t>小于60%，服务绩效扣5分；介于60%至80%，扣3分；介于80%至95%之间，扣2分</w:t>
            </w:r>
          </w:p>
          <w:p w14:paraId="229F7BAF">
            <w:pPr>
              <w:widowControl/>
              <w:spacing w:line="360" w:lineRule="auto"/>
              <w:jc w:val="center"/>
              <w:rPr>
                <w:rFonts w:ascii="宋体" w:hAnsi="宋体"/>
                <w:color w:val="000000" w:themeColor="text1"/>
                <w:szCs w:val="21"/>
              </w:rPr>
            </w:pPr>
          </w:p>
        </w:tc>
        <w:tc>
          <w:tcPr>
            <w:tcW w:w="1377" w:type="dxa"/>
            <w:shd w:val="clear" w:color="auto" w:fill="FFFFFF"/>
            <w:noWrap/>
            <w:vAlign w:val="center"/>
          </w:tcPr>
          <w:p w14:paraId="5B58B6A6">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w:t>
            </w:r>
          </w:p>
        </w:tc>
        <w:tc>
          <w:tcPr>
            <w:tcW w:w="1320" w:type="dxa"/>
            <w:shd w:val="clear" w:color="auto" w:fill="FFFFFF"/>
            <w:noWrap/>
            <w:vAlign w:val="center"/>
          </w:tcPr>
          <w:p w14:paraId="7563E27B">
            <w:pPr>
              <w:widowControl/>
              <w:spacing w:line="360" w:lineRule="auto"/>
              <w:jc w:val="left"/>
              <w:rPr>
                <w:rFonts w:ascii="宋体" w:hAnsi="宋体" w:cs="宋体"/>
                <w:color w:val="000000" w:themeColor="text1"/>
                <w:kern w:val="0"/>
                <w:szCs w:val="21"/>
              </w:rPr>
            </w:pPr>
          </w:p>
        </w:tc>
      </w:tr>
      <w:tr w14:paraId="40C7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265CA7D7">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27</w:t>
            </w:r>
          </w:p>
        </w:tc>
        <w:tc>
          <w:tcPr>
            <w:tcW w:w="3402" w:type="dxa"/>
            <w:shd w:val="clear" w:color="auto" w:fill="FFFFFF"/>
            <w:vAlign w:val="center"/>
          </w:tcPr>
          <w:p w14:paraId="4B9F984E">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供应商所供配件未按苏州金龙的要求粘贴条形码。</w:t>
            </w:r>
          </w:p>
        </w:tc>
        <w:tc>
          <w:tcPr>
            <w:tcW w:w="2977" w:type="dxa"/>
            <w:shd w:val="clear" w:color="auto" w:fill="FFFFFF"/>
            <w:noWrap/>
            <w:vAlign w:val="center"/>
          </w:tcPr>
          <w:p w14:paraId="44A2C0D4">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服务绩效</w:t>
            </w:r>
            <w:r>
              <w:rPr>
                <w:rFonts w:hint="eastAsia" w:ascii="宋体" w:hAnsi="宋体"/>
                <w:color w:val="000000" w:themeColor="text1"/>
                <w:szCs w:val="21"/>
              </w:rPr>
              <w:t>扣0.5分/每项配件，索赔1元/每张条码</w:t>
            </w:r>
          </w:p>
        </w:tc>
        <w:tc>
          <w:tcPr>
            <w:tcW w:w="1377" w:type="dxa"/>
            <w:shd w:val="clear" w:color="auto" w:fill="FFFFFF"/>
            <w:noWrap/>
            <w:vAlign w:val="center"/>
          </w:tcPr>
          <w:p w14:paraId="32CC4C59">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客服部/配件采购工程</w:t>
            </w:r>
          </w:p>
        </w:tc>
        <w:tc>
          <w:tcPr>
            <w:tcW w:w="1320" w:type="dxa"/>
            <w:shd w:val="clear" w:color="auto" w:fill="FFFFFF"/>
            <w:noWrap/>
            <w:vAlign w:val="center"/>
          </w:tcPr>
          <w:p w14:paraId="6299C92C">
            <w:pPr>
              <w:widowControl/>
              <w:spacing w:line="360" w:lineRule="auto"/>
              <w:jc w:val="left"/>
              <w:rPr>
                <w:rFonts w:ascii="宋体" w:hAnsi="宋体" w:cs="宋体"/>
                <w:color w:val="000000" w:themeColor="text1"/>
                <w:kern w:val="0"/>
                <w:szCs w:val="21"/>
              </w:rPr>
            </w:pPr>
          </w:p>
        </w:tc>
      </w:tr>
      <w:tr w14:paraId="4E1C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225CBCB">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28</w:t>
            </w:r>
          </w:p>
        </w:tc>
        <w:tc>
          <w:tcPr>
            <w:tcW w:w="3402" w:type="dxa"/>
            <w:shd w:val="clear" w:color="auto" w:fill="FFFFFF"/>
            <w:vAlign w:val="center"/>
          </w:tcPr>
          <w:p w14:paraId="3F081059">
            <w:pPr>
              <w:widowControl/>
              <w:spacing w:line="360" w:lineRule="auto"/>
              <w:jc w:val="left"/>
              <w:rPr>
                <w:rFonts w:ascii="宋体" w:hAnsi="宋体"/>
                <w:color w:val="000000" w:themeColor="text1"/>
                <w:szCs w:val="21"/>
              </w:rPr>
            </w:pPr>
            <w:r>
              <w:rPr>
                <w:rFonts w:ascii="宋体" w:hAnsi="宋体"/>
                <w:color w:val="000000" w:themeColor="text1"/>
                <w:szCs w:val="21"/>
              </w:rPr>
              <w:t>在售后服务费用结算时，供应商收到苏州金龙结算通知后15日内未完成核对和结算</w:t>
            </w:r>
            <w:r>
              <w:rPr>
                <w:rFonts w:hint="eastAsia" w:ascii="宋体" w:hAnsi="宋体"/>
                <w:color w:val="000000" w:themeColor="text1"/>
                <w:szCs w:val="21"/>
              </w:rPr>
              <w:t>。</w:t>
            </w:r>
          </w:p>
        </w:tc>
        <w:tc>
          <w:tcPr>
            <w:tcW w:w="2977" w:type="dxa"/>
            <w:shd w:val="clear" w:color="auto" w:fill="FFFFFF"/>
            <w:noWrap/>
            <w:vAlign w:val="center"/>
          </w:tcPr>
          <w:p w14:paraId="33680BDC">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服务绩效</w:t>
            </w:r>
            <w:r>
              <w:rPr>
                <w:rFonts w:ascii="宋体" w:hAnsi="宋体"/>
                <w:color w:val="000000" w:themeColor="text1"/>
                <w:szCs w:val="21"/>
              </w:rPr>
              <w:t>扣5分/每次</w:t>
            </w:r>
            <w:r>
              <w:rPr>
                <w:rFonts w:hint="eastAsia" w:ascii="宋体" w:hAnsi="宋体"/>
                <w:color w:val="000000" w:themeColor="text1"/>
                <w:szCs w:val="21"/>
              </w:rPr>
              <w:t>，反之加</w:t>
            </w:r>
            <w:r>
              <w:rPr>
                <w:rFonts w:ascii="宋体" w:hAnsi="宋体"/>
                <w:color w:val="000000" w:themeColor="text1"/>
                <w:szCs w:val="21"/>
              </w:rPr>
              <w:t>2分/每次</w:t>
            </w:r>
          </w:p>
        </w:tc>
        <w:tc>
          <w:tcPr>
            <w:tcW w:w="1377" w:type="dxa"/>
            <w:shd w:val="clear" w:color="auto" w:fill="FFFFFF"/>
            <w:noWrap/>
            <w:vAlign w:val="center"/>
          </w:tcPr>
          <w:p w14:paraId="399BD57B">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客服部/二次理赔工程师</w:t>
            </w:r>
          </w:p>
        </w:tc>
        <w:tc>
          <w:tcPr>
            <w:tcW w:w="1320" w:type="dxa"/>
            <w:shd w:val="clear" w:color="auto" w:fill="FFFFFF"/>
            <w:noWrap/>
            <w:vAlign w:val="center"/>
          </w:tcPr>
          <w:p w14:paraId="2A59B25E">
            <w:pPr>
              <w:widowControl/>
              <w:spacing w:line="360" w:lineRule="auto"/>
              <w:jc w:val="left"/>
              <w:rPr>
                <w:rFonts w:ascii="宋体" w:hAnsi="宋体" w:cs="宋体"/>
                <w:color w:val="000000" w:themeColor="text1"/>
                <w:kern w:val="0"/>
                <w:szCs w:val="21"/>
              </w:rPr>
            </w:pPr>
          </w:p>
        </w:tc>
      </w:tr>
      <w:tr w14:paraId="1BDF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24" w:hRule="atLeast"/>
          <w:jc w:val="center"/>
        </w:trPr>
        <w:tc>
          <w:tcPr>
            <w:tcW w:w="764" w:type="dxa"/>
            <w:shd w:val="clear" w:color="auto" w:fill="FFFFFF"/>
            <w:noWrap/>
            <w:vAlign w:val="center"/>
          </w:tcPr>
          <w:p w14:paraId="35D1642F">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29</w:t>
            </w:r>
          </w:p>
        </w:tc>
        <w:tc>
          <w:tcPr>
            <w:tcW w:w="3402" w:type="dxa"/>
            <w:shd w:val="clear" w:color="auto" w:fill="FFFFFF"/>
            <w:vAlign w:val="center"/>
          </w:tcPr>
          <w:p w14:paraId="3CFD3325">
            <w:pPr>
              <w:widowControl/>
              <w:spacing w:line="360" w:lineRule="auto"/>
              <w:jc w:val="left"/>
              <w:rPr>
                <w:rFonts w:ascii="宋体" w:hAnsi="宋体"/>
                <w:color w:val="000000" w:themeColor="text1"/>
                <w:szCs w:val="21"/>
              </w:rPr>
            </w:pPr>
            <w:r>
              <w:rPr>
                <w:rFonts w:hint="eastAsia" w:ascii="宋体" w:hAnsi="宋体"/>
                <w:color w:val="000000" w:themeColor="text1"/>
                <w:szCs w:val="21"/>
              </w:rPr>
              <w:t>供应商未按</w:t>
            </w:r>
            <w:r>
              <w:rPr>
                <w:rFonts w:ascii="宋体" w:hAnsi="宋体"/>
                <w:color w:val="000000" w:themeColor="text1"/>
                <w:szCs w:val="21"/>
              </w:rPr>
              <w:t>“</w:t>
            </w:r>
            <w:r>
              <w:rPr>
                <w:rFonts w:hint="eastAsia" w:ascii="宋体" w:hAnsi="宋体"/>
                <w:color w:val="000000" w:themeColor="text1"/>
                <w:szCs w:val="21"/>
              </w:rPr>
              <w:t>7</w:t>
            </w:r>
            <w:r>
              <w:rPr>
                <w:rFonts w:ascii="宋体" w:hAnsi="宋体"/>
                <w:color w:val="000000" w:themeColor="text1"/>
                <w:szCs w:val="21"/>
              </w:rPr>
              <w:t>.7 售后服务费用的结算”的各项规定</w:t>
            </w:r>
            <w:r>
              <w:rPr>
                <w:rFonts w:hint="eastAsia" w:ascii="宋体" w:hAnsi="宋体"/>
                <w:color w:val="000000" w:themeColor="text1"/>
                <w:szCs w:val="21"/>
              </w:rPr>
              <w:t>执行的。</w:t>
            </w:r>
          </w:p>
        </w:tc>
        <w:tc>
          <w:tcPr>
            <w:tcW w:w="2977" w:type="dxa"/>
            <w:shd w:val="clear" w:color="auto" w:fill="FFFFFF"/>
            <w:noWrap/>
            <w:vAlign w:val="center"/>
          </w:tcPr>
          <w:p w14:paraId="589FE4A3">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当月1次，处以</w:t>
            </w:r>
            <w:r>
              <w:rPr>
                <w:rFonts w:ascii="宋体" w:hAnsi="宋体"/>
                <w:color w:val="000000" w:themeColor="text1"/>
                <w:szCs w:val="21"/>
              </w:rPr>
              <w:t>3000</w:t>
            </w:r>
            <w:r>
              <w:rPr>
                <w:rFonts w:hint="eastAsia" w:ascii="宋体" w:hAnsi="宋体"/>
                <w:color w:val="000000" w:themeColor="text1"/>
                <w:szCs w:val="21"/>
              </w:rPr>
              <w:t>元考核，当月2次，</w:t>
            </w:r>
            <w:r>
              <w:rPr>
                <w:rFonts w:hint="eastAsia" w:ascii="宋体" w:hAnsi="宋体" w:cs="宋体"/>
                <w:color w:val="000000" w:themeColor="text1"/>
                <w:kern w:val="0"/>
                <w:szCs w:val="21"/>
              </w:rPr>
              <w:t>处以</w:t>
            </w:r>
            <w:r>
              <w:rPr>
                <w:rFonts w:hint="eastAsia" w:ascii="宋体" w:hAnsi="宋体"/>
                <w:color w:val="000000" w:themeColor="text1"/>
                <w:szCs w:val="21"/>
              </w:rPr>
              <w:t>6000元考核，</w:t>
            </w:r>
          </w:p>
          <w:p w14:paraId="09132506">
            <w:pPr>
              <w:widowControl/>
              <w:spacing w:line="360" w:lineRule="auto"/>
              <w:jc w:val="center"/>
              <w:rPr>
                <w:rFonts w:ascii="宋体" w:hAnsi="宋体"/>
                <w:color w:val="000000" w:themeColor="text1"/>
                <w:szCs w:val="21"/>
              </w:rPr>
            </w:pPr>
            <w:r>
              <w:rPr>
                <w:rFonts w:hint="eastAsia" w:ascii="宋体" w:hAnsi="宋体"/>
                <w:color w:val="000000" w:themeColor="text1"/>
                <w:szCs w:val="21"/>
              </w:rPr>
              <w:t>当月3次，</w:t>
            </w:r>
            <w:r>
              <w:rPr>
                <w:rFonts w:hint="eastAsia" w:ascii="宋体" w:hAnsi="宋体" w:cs="宋体"/>
                <w:color w:val="000000" w:themeColor="text1"/>
                <w:kern w:val="0"/>
                <w:szCs w:val="21"/>
              </w:rPr>
              <w:t>处以</w:t>
            </w:r>
            <w:r>
              <w:rPr>
                <w:rFonts w:hint="eastAsia" w:ascii="宋体" w:hAnsi="宋体"/>
                <w:color w:val="000000" w:themeColor="text1"/>
                <w:szCs w:val="21"/>
              </w:rPr>
              <w:t>10000元考核，</w:t>
            </w:r>
          </w:p>
        </w:tc>
        <w:tc>
          <w:tcPr>
            <w:tcW w:w="1377" w:type="dxa"/>
            <w:shd w:val="clear" w:color="auto" w:fill="FFFFFF"/>
            <w:noWrap/>
            <w:vAlign w:val="center"/>
          </w:tcPr>
          <w:p w14:paraId="3E80088F">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客服部/二次理赔工程师</w:t>
            </w:r>
          </w:p>
        </w:tc>
        <w:tc>
          <w:tcPr>
            <w:tcW w:w="1320" w:type="dxa"/>
            <w:shd w:val="clear" w:color="auto" w:fill="FFFFFF"/>
            <w:noWrap/>
            <w:vAlign w:val="center"/>
          </w:tcPr>
          <w:p w14:paraId="50D52453">
            <w:pPr>
              <w:widowControl/>
              <w:spacing w:line="360" w:lineRule="auto"/>
              <w:jc w:val="left"/>
              <w:rPr>
                <w:rFonts w:ascii="宋体" w:hAnsi="宋体" w:cs="宋体"/>
                <w:color w:val="000000" w:themeColor="text1"/>
                <w:kern w:val="0"/>
                <w:szCs w:val="21"/>
              </w:rPr>
            </w:pPr>
          </w:p>
        </w:tc>
      </w:tr>
      <w:tr w14:paraId="27CE1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631FEB34">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30</w:t>
            </w:r>
          </w:p>
        </w:tc>
        <w:tc>
          <w:tcPr>
            <w:tcW w:w="3402" w:type="dxa"/>
            <w:shd w:val="clear" w:color="auto" w:fill="FFFFFF"/>
            <w:vAlign w:val="center"/>
          </w:tcPr>
          <w:p w14:paraId="5A8F0B85">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车辆在保修期内，因零部件品质问题产生的直接、间接费用。</w:t>
            </w:r>
          </w:p>
        </w:tc>
        <w:tc>
          <w:tcPr>
            <w:tcW w:w="2977" w:type="dxa"/>
            <w:shd w:val="clear" w:color="auto" w:fill="FFFFFF"/>
            <w:noWrap/>
            <w:vAlign w:val="center"/>
          </w:tcPr>
          <w:p w14:paraId="3CB9E128">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供应商承担保修单据中产生的费用</w:t>
            </w:r>
          </w:p>
        </w:tc>
        <w:tc>
          <w:tcPr>
            <w:tcW w:w="1377" w:type="dxa"/>
            <w:shd w:val="clear" w:color="auto" w:fill="FFFFFF"/>
            <w:noWrap/>
            <w:vAlign w:val="center"/>
          </w:tcPr>
          <w:p w14:paraId="41FF8E54">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客户服务部</w:t>
            </w:r>
          </w:p>
        </w:tc>
        <w:tc>
          <w:tcPr>
            <w:tcW w:w="1320" w:type="dxa"/>
            <w:shd w:val="clear" w:color="auto" w:fill="FFFFFF"/>
            <w:noWrap/>
            <w:vAlign w:val="center"/>
          </w:tcPr>
          <w:p w14:paraId="0403FB58">
            <w:pPr>
              <w:widowControl/>
              <w:spacing w:line="360" w:lineRule="auto"/>
              <w:jc w:val="left"/>
              <w:rPr>
                <w:rFonts w:ascii="宋体" w:hAnsi="宋体" w:cs="宋体"/>
                <w:color w:val="000000" w:themeColor="text1"/>
                <w:kern w:val="0"/>
                <w:szCs w:val="21"/>
              </w:rPr>
            </w:pPr>
          </w:p>
        </w:tc>
      </w:tr>
      <w:tr w14:paraId="12BA7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2824EB66">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31</w:t>
            </w:r>
          </w:p>
        </w:tc>
        <w:tc>
          <w:tcPr>
            <w:tcW w:w="3402" w:type="dxa"/>
            <w:shd w:val="clear" w:color="auto" w:fill="FFFFFF"/>
            <w:vAlign w:val="center"/>
          </w:tcPr>
          <w:p w14:paraId="2B676593">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车辆在保修期外，由零部件品质原因引起批量故障（8米以上&gt;5台，8米以下&gt;10台）。</w:t>
            </w:r>
          </w:p>
        </w:tc>
        <w:tc>
          <w:tcPr>
            <w:tcW w:w="2977" w:type="dxa"/>
            <w:shd w:val="clear" w:color="auto" w:fill="FFFFFF"/>
            <w:noWrap/>
            <w:vAlign w:val="center"/>
          </w:tcPr>
          <w:p w14:paraId="38B070C0">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供应商承担批量故障产生的费用</w:t>
            </w:r>
          </w:p>
        </w:tc>
        <w:tc>
          <w:tcPr>
            <w:tcW w:w="1377" w:type="dxa"/>
            <w:shd w:val="clear" w:color="auto" w:fill="FFFFFF"/>
            <w:noWrap/>
            <w:vAlign w:val="center"/>
          </w:tcPr>
          <w:p w14:paraId="63E24001">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客户服务部</w:t>
            </w:r>
          </w:p>
        </w:tc>
        <w:tc>
          <w:tcPr>
            <w:tcW w:w="1320" w:type="dxa"/>
            <w:shd w:val="clear" w:color="auto" w:fill="FFFFFF"/>
            <w:noWrap/>
            <w:vAlign w:val="center"/>
          </w:tcPr>
          <w:p w14:paraId="79BE406D">
            <w:pPr>
              <w:widowControl/>
              <w:spacing w:line="360" w:lineRule="auto"/>
              <w:jc w:val="left"/>
              <w:rPr>
                <w:rFonts w:ascii="宋体" w:hAnsi="宋体" w:cs="宋体"/>
                <w:color w:val="000000" w:themeColor="text1"/>
                <w:kern w:val="0"/>
                <w:szCs w:val="21"/>
              </w:rPr>
            </w:pPr>
          </w:p>
        </w:tc>
      </w:tr>
      <w:tr w14:paraId="23F0C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173A9774">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32</w:t>
            </w:r>
          </w:p>
        </w:tc>
        <w:tc>
          <w:tcPr>
            <w:tcW w:w="3402" w:type="dxa"/>
            <w:shd w:val="clear" w:color="auto" w:fill="FFFFFF"/>
            <w:vAlign w:val="center"/>
          </w:tcPr>
          <w:p w14:paraId="3DD0ED18">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车辆在保修外，因商务性因素产生保修。</w:t>
            </w:r>
          </w:p>
        </w:tc>
        <w:tc>
          <w:tcPr>
            <w:tcW w:w="2977" w:type="dxa"/>
            <w:shd w:val="clear" w:color="auto" w:fill="FFFFFF"/>
            <w:noWrap/>
            <w:vAlign w:val="center"/>
          </w:tcPr>
          <w:p w14:paraId="13249527">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供应商配合相关政策</w:t>
            </w:r>
          </w:p>
        </w:tc>
        <w:tc>
          <w:tcPr>
            <w:tcW w:w="1377" w:type="dxa"/>
            <w:shd w:val="clear" w:color="auto" w:fill="FFFFFF"/>
            <w:noWrap/>
            <w:vAlign w:val="center"/>
          </w:tcPr>
          <w:p w14:paraId="7D7AAE10">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客户服务部</w:t>
            </w:r>
          </w:p>
        </w:tc>
        <w:tc>
          <w:tcPr>
            <w:tcW w:w="1320" w:type="dxa"/>
            <w:shd w:val="clear" w:color="auto" w:fill="FFFFFF"/>
            <w:noWrap/>
            <w:vAlign w:val="center"/>
          </w:tcPr>
          <w:p w14:paraId="6674A527">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　</w:t>
            </w:r>
          </w:p>
        </w:tc>
      </w:tr>
      <w:tr w14:paraId="24335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671F568B">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33</w:t>
            </w:r>
          </w:p>
        </w:tc>
        <w:tc>
          <w:tcPr>
            <w:tcW w:w="3402" w:type="dxa"/>
            <w:shd w:val="clear" w:color="auto" w:fill="FFFFFF"/>
            <w:vAlign w:val="center"/>
          </w:tcPr>
          <w:p w14:paraId="38480A4F">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二次理赔费用结算不及时（自接到结算通知起5个工作日无回复或不能给予对账）。</w:t>
            </w:r>
          </w:p>
        </w:tc>
        <w:tc>
          <w:tcPr>
            <w:tcW w:w="2977" w:type="dxa"/>
            <w:shd w:val="clear" w:color="auto" w:fill="FFFFFF"/>
            <w:noWrap/>
            <w:vAlign w:val="center"/>
          </w:tcPr>
          <w:p w14:paraId="3EC03D2F">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每次扣当月供应商绩效分10分并从供货金额中直接扣除足额保修费用</w:t>
            </w:r>
          </w:p>
        </w:tc>
        <w:tc>
          <w:tcPr>
            <w:tcW w:w="1377" w:type="dxa"/>
            <w:shd w:val="clear" w:color="auto" w:fill="FFFFFF"/>
            <w:noWrap/>
            <w:vAlign w:val="center"/>
          </w:tcPr>
          <w:p w14:paraId="6FF80EA9">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客户服务部</w:t>
            </w:r>
          </w:p>
        </w:tc>
        <w:tc>
          <w:tcPr>
            <w:tcW w:w="1320" w:type="dxa"/>
            <w:shd w:val="clear" w:color="auto" w:fill="FFFFFF"/>
            <w:noWrap/>
            <w:vAlign w:val="center"/>
          </w:tcPr>
          <w:p w14:paraId="1A575A64">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　</w:t>
            </w:r>
          </w:p>
        </w:tc>
      </w:tr>
      <w:tr w14:paraId="44C3E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61BD7332">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34</w:t>
            </w:r>
          </w:p>
        </w:tc>
        <w:tc>
          <w:tcPr>
            <w:tcW w:w="3402" w:type="dxa"/>
            <w:shd w:val="clear" w:color="auto" w:fill="FFFFFF"/>
            <w:vAlign w:val="center"/>
          </w:tcPr>
          <w:p w14:paraId="3BF93A6D">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专项服务活动引起的费用。</w:t>
            </w:r>
          </w:p>
        </w:tc>
        <w:tc>
          <w:tcPr>
            <w:tcW w:w="2977" w:type="dxa"/>
            <w:shd w:val="clear" w:color="auto" w:fill="FFFFFF"/>
            <w:noWrap/>
            <w:vAlign w:val="center"/>
          </w:tcPr>
          <w:p w14:paraId="63434BB3">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供应商分担相关专项服务费用</w:t>
            </w:r>
          </w:p>
        </w:tc>
        <w:tc>
          <w:tcPr>
            <w:tcW w:w="1377" w:type="dxa"/>
            <w:shd w:val="clear" w:color="auto" w:fill="FFFFFF"/>
            <w:noWrap/>
            <w:vAlign w:val="center"/>
          </w:tcPr>
          <w:p w14:paraId="27BC05A5">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客户服务部</w:t>
            </w:r>
          </w:p>
        </w:tc>
        <w:tc>
          <w:tcPr>
            <w:tcW w:w="1320" w:type="dxa"/>
            <w:shd w:val="clear" w:color="auto" w:fill="FFFFFF"/>
            <w:noWrap/>
            <w:vAlign w:val="center"/>
          </w:tcPr>
          <w:p w14:paraId="733148D4">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如全国性重大活动</w:t>
            </w:r>
          </w:p>
        </w:tc>
      </w:tr>
      <w:tr w14:paraId="61A67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2BA40CC4">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35</w:t>
            </w:r>
          </w:p>
        </w:tc>
        <w:tc>
          <w:tcPr>
            <w:tcW w:w="3402" w:type="dxa"/>
            <w:shd w:val="clear" w:color="auto" w:fill="FFFFFF"/>
            <w:vAlign w:val="center"/>
          </w:tcPr>
          <w:p w14:paraId="4F8A77BF">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没有供应合同直接供货，不履行保修服务。</w:t>
            </w:r>
          </w:p>
        </w:tc>
        <w:tc>
          <w:tcPr>
            <w:tcW w:w="2977" w:type="dxa"/>
            <w:shd w:val="clear" w:color="auto" w:fill="FFFFFF"/>
            <w:noWrap/>
            <w:vAlign w:val="center"/>
          </w:tcPr>
          <w:p w14:paraId="0E20AB3D">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供应部协调，按照保修单据供应商足额赔付并从货款中直接扣除</w:t>
            </w:r>
          </w:p>
        </w:tc>
        <w:tc>
          <w:tcPr>
            <w:tcW w:w="1377" w:type="dxa"/>
            <w:shd w:val="clear" w:color="auto" w:fill="FFFFFF"/>
            <w:noWrap/>
            <w:vAlign w:val="center"/>
          </w:tcPr>
          <w:p w14:paraId="1655F644">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供应部、客户服务部</w:t>
            </w:r>
          </w:p>
        </w:tc>
        <w:tc>
          <w:tcPr>
            <w:tcW w:w="1320" w:type="dxa"/>
            <w:shd w:val="clear" w:color="auto" w:fill="FFFFFF"/>
            <w:noWrap/>
            <w:vAlign w:val="center"/>
          </w:tcPr>
          <w:p w14:paraId="7AD53D88">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　</w:t>
            </w:r>
          </w:p>
        </w:tc>
      </w:tr>
      <w:tr w14:paraId="040EE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A65D3C5">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36</w:t>
            </w:r>
          </w:p>
        </w:tc>
        <w:tc>
          <w:tcPr>
            <w:tcW w:w="3402" w:type="dxa"/>
            <w:shd w:val="clear" w:color="auto" w:fill="FFFFFF"/>
            <w:vAlign w:val="center"/>
          </w:tcPr>
          <w:p w14:paraId="3F7A09ED">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产生保修费用但账面剩余货款不足抵扣。</w:t>
            </w:r>
          </w:p>
        </w:tc>
        <w:tc>
          <w:tcPr>
            <w:tcW w:w="2977" w:type="dxa"/>
            <w:shd w:val="clear" w:color="auto" w:fill="FFFFFF"/>
            <w:noWrap/>
            <w:vAlign w:val="center"/>
          </w:tcPr>
          <w:p w14:paraId="47DBAF60">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供应部协调，供应商弥补不足费用</w:t>
            </w:r>
          </w:p>
        </w:tc>
        <w:tc>
          <w:tcPr>
            <w:tcW w:w="1377" w:type="dxa"/>
            <w:shd w:val="clear" w:color="auto" w:fill="FFFFFF"/>
            <w:noWrap/>
            <w:vAlign w:val="center"/>
          </w:tcPr>
          <w:p w14:paraId="51E3CD64">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供应部、客户服务部</w:t>
            </w:r>
          </w:p>
        </w:tc>
        <w:tc>
          <w:tcPr>
            <w:tcW w:w="1320" w:type="dxa"/>
            <w:shd w:val="clear" w:color="auto" w:fill="FFFFFF"/>
            <w:noWrap/>
            <w:vAlign w:val="center"/>
          </w:tcPr>
          <w:p w14:paraId="2B4B552A">
            <w:pPr>
              <w:widowControl/>
              <w:spacing w:line="360" w:lineRule="auto"/>
              <w:jc w:val="left"/>
              <w:rPr>
                <w:rFonts w:ascii="宋体" w:hAnsi="宋体"/>
                <w:color w:val="000000" w:themeColor="text1"/>
                <w:szCs w:val="21"/>
              </w:rPr>
            </w:pPr>
          </w:p>
        </w:tc>
      </w:tr>
      <w:tr w14:paraId="11F1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4B7E8BE3">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37</w:t>
            </w:r>
          </w:p>
        </w:tc>
        <w:tc>
          <w:tcPr>
            <w:tcW w:w="3402" w:type="dxa"/>
            <w:shd w:val="clear" w:color="auto" w:fill="FFFFFF"/>
            <w:vAlign w:val="center"/>
          </w:tcPr>
          <w:p w14:paraId="50C96FA9">
            <w:pPr>
              <w:widowControl/>
              <w:spacing w:line="360" w:lineRule="auto"/>
              <w:jc w:val="left"/>
              <w:rPr>
                <w:rFonts w:ascii="宋体" w:hAnsi="宋体" w:cs="宋体"/>
                <w:color w:val="000000" w:themeColor="text1"/>
                <w:kern w:val="0"/>
                <w:szCs w:val="21"/>
              </w:rPr>
            </w:pPr>
            <w:r>
              <w:rPr>
                <w:rFonts w:hint="eastAsia" w:ascii="宋体" w:hAnsi="宋体" w:cs="宋体"/>
                <w:color w:val="000000" w:themeColor="text1"/>
                <w:kern w:val="0"/>
                <w:szCs w:val="21"/>
              </w:rPr>
              <w:t>新物料向甲方供货时未同步提供服务资料或超过7.4.3周期提供服务资料的</w:t>
            </w:r>
          </w:p>
        </w:tc>
        <w:tc>
          <w:tcPr>
            <w:tcW w:w="2977" w:type="dxa"/>
            <w:shd w:val="clear" w:color="auto" w:fill="FFFFFF"/>
            <w:noWrap/>
            <w:vAlign w:val="center"/>
          </w:tcPr>
          <w:p w14:paraId="5ACD8B52">
            <w:pPr>
              <w:widowControl/>
              <w:spacing w:line="360" w:lineRule="auto"/>
              <w:rPr>
                <w:rFonts w:ascii="宋体" w:hAnsi="宋体" w:cs="宋体"/>
                <w:color w:val="000000" w:themeColor="text1"/>
                <w:kern w:val="0"/>
                <w:szCs w:val="21"/>
              </w:rPr>
            </w:pPr>
            <w:r>
              <w:rPr>
                <w:rFonts w:hint="eastAsia" w:ascii="宋体" w:hAnsi="宋体" w:cs="宋体"/>
                <w:color w:val="000000" w:themeColor="text1"/>
                <w:kern w:val="0"/>
                <w:szCs w:val="21"/>
              </w:rPr>
              <w:t>新物料未同步提供服务资料的200元/每项索赔；每种配件资料，每逾期一个工作日按50元/项目索赔 。因提供资料错误造成配件发运错误承担所有损失并在此基础追加3000元违约金。</w:t>
            </w:r>
          </w:p>
        </w:tc>
        <w:tc>
          <w:tcPr>
            <w:tcW w:w="1377" w:type="dxa"/>
            <w:shd w:val="clear" w:color="auto" w:fill="FFFFFF"/>
            <w:noWrap/>
            <w:vAlign w:val="center"/>
          </w:tcPr>
          <w:p w14:paraId="1A66BC55">
            <w:pPr>
              <w:widowControl/>
              <w:spacing w:line="360" w:lineRule="auto"/>
              <w:jc w:val="left"/>
              <w:rPr>
                <w:rFonts w:ascii="宋体" w:hAnsi="宋体" w:cs="宋体"/>
                <w:color w:val="000000" w:themeColor="text1"/>
                <w:kern w:val="0"/>
                <w:szCs w:val="21"/>
              </w:rPr>
            </w:pPr>
          </w:p>
        </w:tc>
        <w:tc>
          <w:tcPr>
            <w:tcW w:w="1320" w:type="dxa"/>
            <w:shd w:val="clear" w:color="auto" w:fill="FFFFFF"/>
            <w:noWrap/>
            <w:vAlign w:val="center"/>
          </w:tcPr>
          <w:p w14:paraId="7253BFCC">
            <w:pPr>
              <w:widowControl/>
              <w:spacing w:line="360" w:lineRule="auto"/>
              <w:jc w:val="left"/>
              <w:rPr>
                <w:rFonts w:ascii="宋体" w:hAnsi="宋体" w:cs="宋体"/>
                <w:color w:val="000000" w:themeColor="text1"/>
                <w:kern w:val="0"/>
                <w:szCs w:val="21"/>
              </w:rPr>
            </w:pPr>
          </w:p>
        </w:tc>
      </w:tr>
      <w:tr w14:paraId="4F3F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15" w:hRule="atLeast"/>
          <w:jc w:val="center"/>
        </w:trPr>
        <w:tc>
          <w:tcPr>
            <w:tcW w:w="764" w:type="dxa"/>
            <w:shd w:val="clear" w:color="auto" w:fill="FFFFFF"/>
            <w:noWrap/>
            <w:vAlign w:val="center"/>
          </w:tcPr>
          <w:p w14:paraId="0B2EA64C">
            <w:pPr>
              <w:widowControl/>
              <w:snapToGrid w:val="0"/>
              <w:spacing w:line="360" w:lineRule="auto"/>
              <w:jc w:val="center"/>
              <w:rPr>
                <w:rFonts w:ascii="宋体" w:hAnsi="宋体"/>
                <w:color w:val="000000" w:themeColor="text1"/>
                <w:kern w:val="0"/>
                <w:szCs w:val="21"/>
              </w:rPr>
            </w:pPr>
            <w:r>
              <w:rPr>
                <w:rFonts w:ascii="宋体" w:hAnsi="宋体"/>
                <w:color w:val="000000" w:themeColor="text1"/>
                <w:kern w:val="0"/>
                <w:szCs w:val="21"/>
              </w:rPr>
              <w:t>38</w:t>
            </w:r>
          </w:p>
        </w:tc>
        <w:tc>
          <w:tcPr>
            <w:tcW w:w="3402" w:type="dxa"/>
            <w:shd w:val="clear" w:color="auto" w:fill="FFFFFF"/>
            <w:vAlign w:val="center"/>
          </w:tcPr>
          <w:p w14:paraId="17AE6AB5">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对于因供应商原始资料提供有误导致客户错买的，应予以原件赔偿并承担运费。</w:t>
            </w:r>
          </w:p>
        </w:tc>
        <w:tc>
          <w:tcPr>
            <w:tcW w:w="2977" w:type="dxa"/>
            <w:shd w:val="clear" w:color="auto" w:fill="FFFFFF"/>
            <w:noWrap/>
            <w:vAlign w:val="center"/>
          </w:tcPr>
          <w:p w14:paraId="194064F8">
            <w:pPr>
              <w:widowControl/>
              <w:spacing w:line="360" w:lineRule="auto"/>
              <w:jc w:val="center"/>
              <w:rPr>
                <w:rFonts w:ascii="宋体" w:hAnsi="宋体"/>
                <w:color w:val="000000" w:themeColor="text1"/>
                <w:szCs w:val="21"/>
              </w:rPr>
            </w:pPr>
            <w:r>
              <w:rPr>
                <w:rFonts w:hint="eastAsia" w:ascii="宋体" w:hAnsi="宋体" w:cs="宋体"/>
                <w:color w:val="000000" w:themeColor="text1"/>
                <w:kern w:val="0"/>
                <w:szCs w:val="21"/>
              </w:rPr>
              <w:t>赔偿实际发生的配件原件及实际产生的运费</w:t>
            </w:r>
          </w:p>
        </w:tc>
        <w:tc>
          <w:tcPr>
            <w:tcW w:w="1377" w:type="dxa"/>
            <w:shd w:val="clear" w:color="auto" w:fill="FFFFFF"/>
            <w:noWrap/>
            <w:vAlign w:val="center"/>
          </w:tcPr>
          <w:p w14:paraId="566E2EF2">
            <w:pPr>
              <w:widowControl/>
              <w:spacing w:line="360" w:lineRule="auto"/>
              <w:jc w:val="left"/>
              <w:rPr>
                <w:rFonts w:ascii="宋体" w:hAnsi="宋体"/>
                <w:color w:val="000000" w:themeColor="text1"/>
                <w:szCs w:val="21"/>
              </w:rPr>
            </w:pPr>
            <w:r>
              <w:rPr>
                <w:rFonts w:hint="eastAsia" w:ascii="宋体" w:hAnsi="宋体" w:cs="宋体"/>
                <w:color w:val="000000" w:themeColor="text1"/>
                <w:kern w:val="0"/>
                <w:szCs w:val="21"/>
              </w:rPr>
              <w:t>海外客服部</w:t>
            </w:r>
          </w:p>
        </w:tc>
        <w:tc>
          <w:tcPr>
            <w:tcW w:w="1320" w:type="dxa"/>
            <w:shd w:val="clear" w:color="auto" w:fill="FFFFFF"/>
            <w:noWrap/>
            <w:vAlign w:val="center"/>
          </w:tcPr>
          <w:p w14:paraId="5C0BE43C">
            <w:pPr>
              <w:widowControl/>
              <w:spacing w:line="360" w:lineRule="auto"/>
              <w:jc w:val="left"/>
              <w:rPr>
                <w:rFonts w:ascii="宋体" w:hAnsi="宋体" w:cs="宋体"/>
                <w:color w:val="000000" w:themeColor="text1"/>
                <w:kern w:val="0"/>
                <w:szCs w:val="21"/>
              </w:rPr>
            </w:pPr>
          </w:p>
        </w:tc>
      </w:tr>
    </w:tbl>
    <w:p w14:paraId="5CF54C5A">
      <w:pPr>
        <w:spacing w:line="360" w:lineRule="auto"/>
        <w:rPr>
          <w:szCs w:val="21"/>
        </w:rPr>
      </w:pPr>
    </w:p>
    <w:p w14:paraId="497F12FA">
      <w:pPr>
        <w:spacing w:line="360" w:lineRule="auto"/>
        <w:rPr>
          <w:szCs w:val="21"/>
        </w:rPr>
      </w:pPr>
      <w:r>
        <w:rPr>
          <w:szCs w:val="21"/>
        </w:rPr>
        <w:t>七、协议期限</w:t>
      </w:r>
    </w:p>
    <w:p w14:paraId="2B07EB72">
      <w:pPr>
        <w:spacing w:line="360" w:lineRule="auto"/>
        <w:rPr>
          <w:szCs w:val="21"/>
        </w:rPr>
      </w:pPr>
      <w:r>
        <w:rPr>
          <w:color w:val="000000" w:themeColor="text1"/>
          <w:szCs w:val="21"/>
        </w:rPr>
        <w:t>7.1本协议自</w:t>
      </w:r>
      <w:r>
        <w:rPr>
          <w:rFonts w:hint="eastAsia"/>
          <w:color w:val="000000" w:themeColor="text1"/>
          <w:szCs w:val="21"/>
        </w:rPr>
        <w:t>签订之日</w:t>
      </w:r>
      <w:r>
        <w:rPr>
          <w:color w:val="000000" w:themeColor="text1"/>
          <w:szCs w:val="21"/>
        </w:rPr>
        <w:t>起生效，有效期</w:t>
      </w:r>
      <w:r>
        <w:rPr>
          <w:rFonts w:hint="eastAsia"/>
          <w:color w:val="000000" w:themeColor="text1"/>
          <w:szCs w:val="21"/>
        </w:rPr>
        <w:t>五</w:t>
      </w:r>
      <w:r>
        <w:rPr>
          <w:color w:val="000000" w:themeColor="text1"/>
          <w:szCs w:val="21"/>
        </w:rPr>
        <w:t>年</w:t>
      </w:r>
      <w:r>
        <w:rPr>
          <w:rFonts w:hint="eastAsia"/>
          <w:color w:val="000000" w:themeColor="text1"/>
          <w:szCs w:val="21"/>
        </w:rPr>
        <w:t>，若协议中产品品质保证期限高于本协议有效期，则本协议有效期至少延长到产品品质保证期限。</w:t>
      </w:r>
      <w:r>
        <w:rPr>
          <w:color w:val="000000" w:themeColor="text1"/>
          <w:szCs w:val="21"/>
        </w:rPr>
        <w:t>本协议执行期间，双方不得随意变更和解除协议，协议如有未尽事宜，由双方共同协商，作出补充规定，补充规定与本</w:t>
      </w:r>
      <w:r>
        <w:rPr>
          <w:szCs w:val="21"/>
        </w:rPr>
        <w:t>协议具有同等效力。</w:t>
      </w:r>
    </w:p>
    <w:p w14:paraId="69E03A18">
      <w:pPr>
        <w:spacing w:line="360" w:lineRule="auto"/>
        <w:rPr>
          <w:szCs w:val="21"/>
        </w:rPr>
      </w:pPr>
      <w:r>
        <w:rPr>
          <w:szCs w:val="21"/>
        </w:rPr>
        <w:t>7.2本协议正本一式二份，甲方和乙方各执一份；协议副本一式_</w:t>
      </w:r>
      <w:r>
        <w:rPr>
          <w:szCs w:val="21"/>
          <w:u w:val="single"/>
        </w:rPr>
        <w:t>_</w:t>
      </w:r>
      <w:r>
        <w:rPr>
          <w:rFonts w:hint="eastAsia"/>
          <w:szCs w:val="21"/>
          <w:u w:val="single"/>
        </w:rPr>
        <w:t>/</w:t>
      </w:r>
      <w:r>
        <w:rPr>
          <w:szCs w:val="21"/>
          <w:u w:val="single"/>
        </w:rPr>
        <w:t>_</w:t>
      </w:r>
      <w:r>
        <w:rPr>
          <w:szCs w:val="21"/>
        </w:rPr>
        <w:t>_份，交___</w:t>
      </w:r>
      <w:r>
        <w:rPr>
          <w:szCs w:val="21"/>
          <w:u w:val="single"/>
        </w:rPr>
        <w:t>/_</w:t>
      </w:r>
      <w:r>
        <w:rPr>
          <w:szCs w:val="21"/>
        </w:rPr>
        <w:t>_(如需经鉴证或公证，则应送鉴证机关或公证机关)各留存一份</w:t>
      </w:r>
      <w:r>
        <w:rPr>
          <w:rFonts w:hint="eastAsia"/>
          <w:szCs w:val="21"/>
        </w:rPr>
        <w:t>。</w:t>
      </w:r>
    </w:p>
    <w:p w14:paraId="5A21A813">
      <w:pPr>
        <w:spacing w:line="360" w:lineRule="auto"/>
        <w:rPr>
          <w:szCs w:val="21"/>
        </w:rPr>
      </w:pPr>
      <w:r>
        <w:rPr>
          <w:szCs w:val="21"/>
        </w:rPr>
        <w:t>7.3协议到期后双方均无异议，视为本协议自动递延，继续生效。如有异议，书面通知对方，另行签定协议。</w:t>
      </w:r>
    </w:p>
    <w:p w14:paraId="5839B652">
      <w:pPr>
        <w:spacing w:line="360" w:lineRule="auto"/>
        <w:rPr>
          <w:szCs w:val="21"/>
        </w:rPr>
      </w:pPr>
      <w:r>
        <w:rPr>
          <w:szCs w:val="21"/>
        </w:rPr>
        <w:t>7.4本协议与“供应商管理手册3.</w:t>
      </w:r>
      <w:r>
        <w:rPr>
          <w:rFonts w:hint="eastAsia"/>
          <w:szCs w:val="21"/>
        </w:rPr>
        <w:t>2</w:t>
      </w:r>
      <w:r>
        <w:rPr>
          <w:szCs w:val="21"/>
        </w:rPr>
        <w:t>”相关条款内容冲突时，以本协议为准。</w:t>
      </w:r>
    </w:p>
    <w:p w14:paraId="39144454">
      <w:pPr>
        <w:spacing w:line="360" w:lineRule="auto"/>
        <w:rPr>
          <w:szCs w:val="21"/>
        </w:rPr>
      </w:pPr>
    </w:p>
    <w:p w14:paraId="1891B687">
      <w:pPr>
        <w:spacing w:line="360" w:lineRule="auto"/>
        <w:rPr>
          <w:szCs w:val="21"/>
        </w:rPr>
      </w:pPr>
    </w:p>
    <w:p w14:paraId="01259C82">
      <w:pPr>
        <w:spacing w:line="360" w:lineRule="auto"/>
        <w:rPr>
          <w:szCs w:val="21"/>
        </w:rPr>
      </w:pPr>
    </w:p>
    <w:p w14:paraId="4DC72163">
      <w:pPr>
        <w:spacing w:line="360" w:lineRule="auto"/>
        <w:rPr>
          <w:szCs w:val="21"/>
        </w:rPr>
      </w:pPr>
    </w:p>
    <w:p w14:paraId="598E0A81">
      <w:pPr>
        <w:spacing w:line="360" w:lineRule="auto"/>
        <w:rPr>
          <w:szCs w:val="21"/>
        </w:rPr>
      </w:pPr>
      <w:r>
        <w:rPr>
          <w:szCs w:val="21"/>
        </w:rPr>
        <w:t>甲     方：</w:t>
      </w:r>
      <w:r>
        <w:rPr>
          <w:rFonts w:hint="eastAsia"/>
          <w:szCs w:val="21"/>
        </w:rPr>
        <w:t>金龙联合汽车工业（苏州）有限公司</w:t>
      </w:r>
      <w:r>
        <w:rPr>
          <w:szCs w:val="21"/>
        </w:rPr>
        <w:t>（签章）</w:t>
      </w:r>
    </w:p>
    <w:p w14:paraId="3935D559">
      <w:pPr>
        <w:spacing w:line="360" w:lineRule="auto"/>
        <w:rPr>
          <w:szCs w:val="21"/>
        </w:rPr>
      </w:pPr>
      <w:r>
        <w:rPr>
          <w:szCs w:val="21"/>
        </w:rPr>
        <w:t>单位地址、电话：</w:t>
      </w:r>
      <w:r>
        <w:rPr>
          <w:rFonts w:hint="eastAsia"/>
          <w:szCs w:val="21"/>
        </w:rPr>
        <w:t>苏州工业园区苏虹东路 288 号 62581888</w:t>
      </w:r>
    </w:p>
    <w:p w14:paraId="6146930B">
      <w:pPr>
        <w:spacing w:line="360" w:lineRule="auto"/>
        <w:rPr>
          <w:szCs w:val="21"/>
        </w:rPr>
      </w:pPr>
      <w:r>
        <w:rPr>
          <w:szCs w:val="21"/>
        </w:rPr>
        <w:t>纳税识别号：91320594714112290N</w:t>
      </w:r>
    </w:p>
    <w:p w14:paraId="6B83F36C">
      <w:pPr>
        <w:spacing w:line="360" w:lineRule="auto"/>
        <w:rPr>
          <w:szCs w:val="21"/>
        </w:rPr>
      </w:pPr>
      <w:r>
        <w:rPr>
          <w:szCs w:val="21"/>
        </w:rPr>
        <w:t>开户行及帐号：</w:t>
      </w:r>
      <w:r>
        <w:rPr>
          <w:rFonts w:hint="eastAsia"/>
          <w:szCs w:val="21"/>
        </w:rPr>
        <w:t>建行苏州分行营业部 32201989036059000101</w:t>
      </w:r>
    </w:p>
    <w:p w14:paraId="401E5BB0">
      <w:pPr>
        <w:spacing w:line="360" w:lineRule="auto"/>
        <w:rPr>
          <w:szCs w:val="21"/>
        </w:rPr>
      </w:pPr>
      <w:r>
        <w:rPr>
          <w:szCs w:val="21"/>
        </w:rPr>
        <w:t>法定代表人（或授权代表）</w:t>
      </w:r>
      <w:r>
        <w:rPr>
          <w:rFonts w:hint="eastAsia"/>
          <w:szCs w:val="21"/>
        </w:rPr>
        <w:t>：</w:t>
      </w:r>
    </w:p>
    <w:p w14:paraId="67B046AD">
      <w:pPr>
        <w:spacing w:line="360" w:lineRule="auto"/>
        <w:rPr>
          <w:szCs w:val="21"/>
        </w:rPr>
      </w:pPr>
    </w:p>
    <w:p w14:paraId="35FA9D7B">
      <w:pPr>
        <w:spacing w:line="360" w:lineRule="auto"/>
        <w:rPr>
          <w:szCs w:val="21"/>
        </w:rPr>
      </w:pPr>
    </w:p>
    <w:p w14:paraId="2483375D">
      <w:pPr>
        <w:spacing w:line="360" w:lineRule="auto"/>
        <w:rPr>
          <w:szCs w:val="21"/>
        </w:rPr>
      </w:pPr>
    </w:p>
    <w:p w14:paraId="70944F95">
      <w:pPr>
        <w:spacing w:line="360" w:lineRule="auto"/>
        <w:rPr>
          <w:szCs w:val="21"/>
        </w:rPr>
      </w:pPr>
      <w:r>
        <w:rPr>
          <w:szCs w:val="21"/>
        </w:rPr>
        <w:t>乙      方：</w:t>
      </w:r>
    </w:p>
    <w:p w14:paraId="04BE072F">
      <w:pPr>
        <w:spacing w:line="360" w:lineRule="auto"/>
        <w:rPr>
          <w:szCs w:val="21"/>
        </w:rPr>
      </w:pPr>
      <w:r>
        <w:rPr>
          <w:szCs w:val="21"/>
        </w:rPr>
        <w:t>单位地址、电话：</w:t>
      </w:r>
    </w:p>
    <w:p w14:paraId="092659E3">
      <w:pPr>
        <w:spacing w:line="360" w:lineRule="auto"/>
        <w:rPr>
          <w:szCs w:val="21"/>
        </w:rPr>
      </w:pPr>
      <w:r>
        <w:rPr>
          <w:szCs w:val="21"/>
        </w:rPr>
        <w:t>纳税识别号：</w:t>
      </w:r>
    </w:p>
    <w:p w14:paraId="1F531BB4">
      <w:pPr>
        <w:spacing w:line="360" w:lineRule="auto"/>
        <w:rPr>
          <w:szCs w:val="21"/>
        </w:rPr>
      </w:pPr>
      <w:r>
        <w:rPr>
          <w:szCs w:val="21"/>
        </w:rPr>
        <w:t>开户行及帐号：</w:t>
      </w:r>
    </w:p>
    <w:p w14:paraId="129F0F08">
      <w:pPr>
        <w:spacing w:line="360" w:lineRule="auto"/>
        <w:rPr>
          <w:szCs w:val="21"/>
        </w:rPr>
      </w:pPr>
      <w:r>
        <w:rPr>
          <w:szCs w:val="21"/>
        </w:rPr>
        <w:t>法定代表人（或授权代表）：</w:t>
      </w:r>
      <w:r>
        <w:rPr>
          <w:szCs w:val="21"/>
        </w:rPr>
        <w:br w:type="page"/>
      </w:r>
    </w:p>
    <w:p w14:paraId="7B105555">
      <w:pPr>
        <w:rPr>
          <w:rFonts w:eastAsia="新宋体"/>
          <w:b/>
          <w:sz w:val="24"/>
        </w:rPr>
      </w:pPr>
      <w:r>
        <w:rPr>
          <w:b/>
          <w:sz w:val="24"/>
        </w:rPr>
        <w:t>附件1：</w:t>
      </w:r>
      <w:r>
        <w:rPr>
          <w:rFonts w:eastAsia="新宋体"/>
          <w:b/>
          <w:sz w:val="24"/>
        </w:rPr>
        <w:t>乙方相关人员的联系方式</w:t>
      </w:r>
    </w:p>
    <w:p w14:paraId="7F2E8145">
      <w:pPr>
        <w:rPr>
          <w:b/>
          <w:szCs w:val="21"/>
        </w:rPr>
      </w:pPr>
    </w:p>
    <w:tbl>
      <w:tblPr>
        <w:tblStyle w:val="12"/>
        <w:tblW w:w="1007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473"/>
        <w:gridCol w:w="1344"/>
        <w:gridCol w:w="1754"/>
        <w:gridCol w:w="3508"/>
      </w:tblGrid>
      <w:tr w14:paraId="0A94DA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3CA69D42">
            <w:pPr>
              <w:spacing w:line="560" w:lineRule="exact"/>
              <w:jc w:val="center"/>
              <w:rPr>
                <w:rFonts w:eastAsia="新宋体"/>
                <w:b/>
                <w:szCs w:val="21"/>
              </w:rPr>
            </w:pPr>
            <w:r>
              <w:rPr>
                <w:rFonts w:eastAsia="新宋体"/>
                <w:b/>
                <w:szCs w:val="21"/>
              </w:rPr>
              <w:t>联系方式</w:t>
            </w:r>
          </w:p>
        </w:tc>
        <w:tc>
          <w:tcPr>
            <w:tcW w:w="1344" w:type="dxa"/>
            <w:tcBorders>
              <w:top w:val="single" w:color="auto" w:sz="4" w:space="0"/>
              <w:left w:val="single" w:color="auto" w:sz="4" w:space="0"/>
              <w:bottom w:val="single" w:color="auto" w:sz="4" w:space="0"/>
              <w:right w:val="single" w:color="auto" w:sz="4" w:space="0"/>
            </w:tcBorders>
            <w:vAlign w:val="center"/>
          </w:tcPr>
          <w:p w14:paraId="5EEBBEB9">
            <w:pPr>
              <w:spacing w:line="560" w:lineRule="exact"/>
              <w:jc w:val="center"/>
              <w:rPr>
                <w:rFonts w:eastAsia="新宋体"/>
                <w:b/>
                <w:szCs w:val="21"/>
              </w:rPr>
            </w:pPr>
            <w:r>
              <w:rPr>
                <w:rFonts w:eastAsia="新宋体"/>
                <w:b/>
                <w:szCs w:val="21"/>
              </w:rPr>
              <w:t>姓名</w:t>
            </w:r>
          </w:p>
        </w:tc>
        <w:tc>
          <w:tcPr>
            <w:tcW w:w="1754" w:type="dxa"/>
            <w:tcBorders>
              <w:top w:val="single" w:color="auto" w:sz="4" w:space="0"/>
              <w:left w:val="single" w:color="auto" w:sz="4" w:space="0"/>
              <w:bottom w:val="single" w:color="auto" w:sz="4" w:space="0"/>
              <w:right w:val="single" w:color="auto" w:sz="4" w:space="0"/>
            </w:tcBorders>
            <w:vAlign w:val="center"/>
          </w:tcPr>
          <w:p w14:paraId="15009F91">
            <w:pPr>
              <w:spacing w:line="560" w:lineRule="exact"/>
              <w:jc w:val="center"/>
              <w:rPr>
                <w:rFonts w:eastAsia="新宋体"/>
                <w:b/>
                <w:szCs w:val="21"/>
              </w:rPr>
            </w:pPr>
            <w:r>
              <w:rPr>
                <w:rFonts w:hint="eastAsia" w:eastAsia="新宋体"/>
                <w:b/>
                <w:szCs w:val="21"/>
              </w:rPr>
              <w:t>手机</w:t>
            </w:r>
          </w:p>
        </w:tc>
        <w:tc>
          <w:tcPr>
            <w:tcW w:w="3508" w:type="dxa"/>
            <w:tcBorders>
              <w:top w:val="single" w:color="auto" w:sz="4" w:space="0"/>
              <w:left w:val="single" w:color="auto" w:sz="4" w:space="0"/>
              <w:bottom w:val="single" w:color="auto" w:sz="4" w:space="0"/>
              <w:right w:val="single" w:color="auto" w:sz="4" w:space="0"/>
            </w:tcBorders>
            <w:vAlign w:val="center"/>
          </w:tcPr>
          <w:p w14:paraId="2A2C8FC9">
            <w:pPr>
              <w:spacing w:line="560" w:lineRule="exact"/>
              <w:jc w:val="center"/>
              <w:rPr>
                <w:rFonts w:eastAsia="新宋体"/>
                <w:b/>
                <w:szCs w:val="21"/>
              </w:rPr>
            </w:pPr>
            <w:r>
              <w:rPr>
                <w:rFonts w:hint="eastAsia" w:eastAsia="新宋体"/>
                <w:b/>
                <w:szCs w:val="21"/>
              </w:rPr>
              <w:t>邮箱</w:t>
            </w:r>
          </w:p>
        </w:tc>
      </w:tr>
      <w:tr w14:paraId="7C67E8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50BBB44B">
            <w:pPr>
              <w:spacing w:line="560" w:lineRule="exact"/>
              <w:jc w:val="center"/>
              <w:rPr>
                <w:rFonts w:eastAsia="新宋体"/>
                <w:b/>
                <w:szCs w:val="21"/>
              </w:rPr>
            </w:pPr>
            <w:r>
              <w:rPr>
                <w:rFonts w:eastAsia="新宋体"/>
                <w:b/>
                <w:szCs w:val="21"/>
              </w:rPr>
              <w:t>主管售后的副总</w:t>
            </w:r>
          </w:p>
        </w:tc>
        <w:tc>
          <w:tcPr>
            <w:tcW w:w="1344" w:type="dxa"/>
            <w:tcBorders>
              <w:top w:val="single" w:color="auto" w:sz="4" w:space="0"/>
              <w:left w:val="single" w:color="auto" w:sz="4" w:space="0"/>
              <w:bottom w:val="single" w:color="auto" w:sz="4" w:space="0"/>
              <w:right w:val="single" w:color="auto" w:sz="4" w:space="0"/>
            </w:tcBorders>
            <w:vAlign w:val="center"/>
          </w:tcPr>
          <w:p w14:paraId="4C0078B0">
            <w:pPr>
              <w:spacing w:line="560" w:lineRule="exact"/>
              <w:jc w:val="center"/>
              <w:rPr>
                <w:rFonts w:eastAsia="新宋体"/>
                <w:b/>
                <w:szCs w:val="21"/>
              </w:rPr>
            </w:pPr>
          </w:p>
        </w:tc>
        <w:tc>
          <w:tcPr>
            <w:tcW w:w="1754" w:type="dxa"/>
            <w:tcBorders>
              <w:top w:val="single" w:color="auto" w:sz="4" w:space="0"/>
              <w:left w:val="single" w:color="auto" w:sz="4" w:space="0"/>
              <w:bottom w:val="single" w:color="auto" w:sz="4" w:space="0"/>
              <w:right w:val="single" w:color="auto" w:sz="4" w:space="0"/>
            </w:tcBorders>
            <w:vAlign w:val="center"/>
          </w:tcPr>
          <w:p w14:paraId="4922E7CE">
            <w:pPr>
              <w:spacing w:line="560" w:lineRule="exact"/>
              <w:jc w:val="center"/>
              <w:rPr>
                <w:rFonts w:eastAsia="新宋体"/>
                <w:b/>
                <w:szCs w:val="21"/>
              </w:rPr>
            </w:pPr>
          </w:p>
        </w:tc>
        <w:tc>
          <w:tcPr>
            <w:tcW w:w="3508" w:type="dxa"/>
            <w:tcBorders>
              <w:top w:val="single" w:color="auto" w:sz="4" w:space="0"/>
              <w:left w:val="single" w:color="auto" w:sz="4" w:space="0"/>
              <w:bottom w:val="single" w:color="auto" w:sz="4" w:space="0"/>
              <w:right w:val="single" w:color="auto" w:sz="4" w:space="0"/>
            </w:tcBorders>
            <w:vAlign w:val="center"/>
          </w:tcPr>
          <w:p w14:paraId="0261C8FB">
            <w:pPr>
              <w:spacing w:line="560" w:lineRule="exact"/>
              <w:jc w:val="center"/>
              <w:rPr>
                <w:rFonts w:eastAsia="新宋体"/>
                <w:b/>
                <w:szCs w:val="21"/>
              </w:rPr>
            </w:pPr>
          </w:p>
        </w:tc>
      </w:tr>
      <w:tr w14:paraId="59C904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393FF9A7">
            <w:pPr>
              <w:spacing w:line="560" w:lineRule="exact"/>
              <w:jc w:val="center"/>
              <w:rPr>
                <w:rFonts w:eastAsia="新宋体"/>
                <w:b/>
                <w:szCs w:val="21"/>
              </w:rPr>
            </w:pPr>
            <w:r>
              <w:rPr>
                <w:rFonts w:eastAsia="新宋体"/>
                <w:b/>
                <w:szCs w:val="21"/>
              </w:rPr>
              <w:t>主管金龙业务的销售经理</w:t>
            </w:r>
          </w:p>
        </w:tc>
        <w:tc>
          <w:tcPr>
            <w:tcW w:w="1344" w:type="dxa"/>
            <w:tcBorders>
              <w:top w:val="single" w:color="auto" w:sz="4" w:space="0"/>
              <w:left w:val="single" w:color="auto" w:sz="4" w:space="0"/>
              <w:bottom w:val="single" w:color="auto" w:sz="4" w:space="0"/>
              <w:right w:val="single" w:color="auto" w:sz="4" w:space="0"/>
            </w:tcBorders>
            <w:vAlign w:val="center"/>
          </w:tcPr>
          <w:p w14:paraId="66593BBB">
            <w:pPr>
              <w:spacing w:line="560" w:lineRule="exact"/>
              <w:jc w:val="center"/>
              <w:rPr>
                <w:rFonts w:eastAsia="新宋体"/>
                <w:b/>
                <w:szCs w:val="21"/>
              </w:rPr>
            </w:pPr>
          </w:p>
        </w:tc>
        <w:tc>
          <w:tcPr>
            <w:tcW w:w="1754" w:type="dxa"/>
            <w:tcBorders>
              <w:top w:val="single" w:color="auto" w:sz="4" w:space="0"/>
              <w:left w:val="single" w:color="auto" w:sz="4" w:space="0"/>
              <w:bottom w:val="single" w:color="auto" w:sz="4" w:space="0"/>
              <w:right w:val="single" w:color="auto" w:sz="4" w:space="0"/>
            </w:tcBorders>
            <w:vAlign w:val="center"/>
          </w:tcPr>
          <w:p w14:paraId="08555A64">
            <w:pPr>
              <w:spacing w:line="560" w:lineRule="exact"/>
              <w:jc w:val="center"/>
              <w:rPr>
                <w:rFonts w:eastAsia="新宋体"/>
                <w:b/>
                <w:szCs w:val="21"/>
              </w:rPr>
            </w:pPr>
          </w:p>
        </w:tc>
        <w:tc>
          <w:tcPr>
            <w:tcW w:w="3508" w:type="dxa"/>
            <w:tcBorders>
              <w:top w:val="single" w:color="auto" w:sz="4" w:space="0"/>
              <w:left w:val="single" w:color="auto" w:sz="4" w:space="0"/>
              <w:bottom w:val="single" w:color="auto" w:sz="4" w:space="0"/>
              <w:right w:val="single" w:color="auto" w:sz="4" w:space="0"/>
            </w:tcBorders>
            <w:vAlign w:val="center"/>
          </w:tcPr>
          <w:p w14:paraId="4453B163">
            <w:pPr>
              <w:spacing w:line="560" w:lineRule="exact"/>
              <w:jc w:val="center"/>
              <w:rPr>
                <w:rFonts w:eastAsia="新宋体"/>
                <w:b/>
                <w:szCs w:val="21"/>
              </w:rPr>
            </w:pPr>
          </w:p>
        </w:tc>
      </w:tr>
      <w:tr w14:paraId="29A22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6"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0FCDAE8B">
            <w:pPr>
              <w:spacing w:line="560" w:lineRule="exact"/>
              <w:ind w:firstLine="1054" w:firstLineChars="500"/>
              <w:rPr>
                <w:rFonts w:eastAsia="新宋体"/>
                <w:b/>
                <w:szCs w:val="21"/>
              </w:rPr>
            </w:pPr>
            <w:r>
              <w:rPr>
                <w:rFonts w:eastAsia="新宋体"/>
                <w:b/>
                <w:szCs w:val="21"/>
              </w:rPr>
              <w:t>售后服务经理</w:t>
            </w:r>
          </w:p>
        </w:tc>
        <w:tc>
          <w:tcPr>
            <w:tcW w:w="1344" w:type="dxa"/>
            <w:tcBorders>
              <w:top w:val="single" w:color="auto" w:sz="4" w:space="0"/>
              <w:left w:val="single" w:color="auto" w:sz="4" w:space="0"/>
              <w:bottom w:val="single" w:color="auto" w:sz="4" w:space="0"/>
              <w:right w:val="single" w:color="auto" w:sz="4" w:space="0"/>
            </w:tcBorders>
            <w:vAlign w:val="center"/>
          </w:tcPr>
          <w:p w14:paraId="60ADCCCE">
            <w:pPr>
              <w:spacing w:line="560" w:lineRule="exact"/>
              <w:jc w:val="center"/>
              <w:rPr>
                <w:rFonts w:eastAsia="新宋体"/>
                <w:b/>
                <w:szCs w:val="21"/>
              </w:rPr>
            </w:pPr>
          </w:p>
        </w:tc>
        <w:tc>
          <w:tcPr>
            <w:tcW w:w="1754" w:type="dxa"/>
            <w:tcBorders>
              <w:top w:val="single" w:color="auto" w:sz="4" w:space="0"/>
              <w:left w:val="single" w:color="auto" w:sz="4" w:space="0"/>
              <w:bottom w:val="single" w:color="auto" w:sz="4" w:space="0"/>
              <w:right w:val="single" w:color="auto" w:sz="4" w:space="0"/>
            </w:tcBorders>
            <w:vAlign w:val="center"/>
          </w:tcPr>
          <w:p w14:paraId="0696F187">
            <w:pPr>
              <w:spacing w:line="560" w:lineRule="exact"/>
              <w:jc w:val="center"/>
              <w:rPr>
                <w:rFonts w:eastAsia="新宋体"/>
                <w:b/>
                <w:szCs w:val="21"/>
              </w:rPr>
            </w:pPr>
          </w:p>
        </w:tc>
        <w:tc>
          <w:tcPr>
            <w:tcW w:w="3508" w:type="dxa"/>
            <w:tcBorders>
              <w:top w:val="single" w:color="auto" w:sz="4" w:space="0"/>
              <w:left w:val="single" w:color="auto" w:sz="4" w:space="0"/>
              <w:bottom w:val="single" w:color="auto" w:sz="4" w:space="0"/>
              <w:right w:val="single" w:color="auto" w:sz="4" w:space="0"/>
            </w:tcBorders>
            <w:vAlign w:val="center"/>
          </w:tcPr>
          <w:p w14:paraId="433D819C">
            <w:pPr>
              <w:spacing w:line="560" w:lineRule="exact"/>
              <w:jc w:val="center"/>
              <w:rPr>
                <w:rFonts w:eastAsia="新宋体"/>
                <w:b/>
                <w:szCs w:val="21"/>
              </w:rPr>
            </w:pPr>
          </w:p>
        </w:tc>
      </w:tr>
      <w:tr w14:paraId="0BC868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1"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4D0D7000">
            <w:pPr>
              <w:spacing w:line="560" w:lineRule="exact"/>
              <w:jc w:val="center"/>
              <w:rPr>
                <w:rFonts w:eastAsia="新宋体"/>
                <w:b/>
                <w:szCs w:val="21"/>
              </w:rPr>
            </w:pPr>
            <w:r>
              <w:rPr>
                <w:rFonts w:eastAsia="新宋体"/>
                <w:b/>
                <w:szCs w:val="21"/>
              </w:rPr>
              <w:t>主管金龙售后服务人员</w:t>
            </w:r>
          </w:p>
        </w:tc>
        <w:tc>
          <w:tcPr>
            <w:tcW w:w="1344" w:type="dxa"/>
            <w:tcBorders>
              <w:top w:val="single" w:color="auto" w:sz="4" w:space="0"/>
              <w:left w:val="single" w:color="auto" w:sz="4" w:space="0"/>
              <w:bottom w:val="single" w:color="auto" w:sz="4" w:space="0"/>
              <w:right w:val="single" w:color="auto" w:sz="4" w:space="0"/>
            </w:tcBorders>
            <w:vAlign w:val="center"/>
          </w:tcPr>
          <w:p w14:paraId="178E8426">
            <w:pPr>
              <w:spacing w:line="560" w:lineRule="exact"/>
              <w:jc w:val="center"/>
              <w:rPr>
                <w:rFonts w:eastAsia="新宋体"/>
                <w:b/>
                <w:szCs w:val="21"/>
              </w:rPr>
            </w:pPr>
          </w:p>
        </w:tc>
        <w:tc>
          <w:tcPr>
            <w:tcW w:w="1754" w:type="dxa"/>
            <w:tcBorders>
              <w:top w:val="single" w:color="auto" w:sz="4" w:space="0"/>
              <w:left w:val="single" w:color="auto" w:sz="4" w:space="0"/>
              <w:bottom w:val="single" w:color="auto" w:sz="4" w:space="0"/>
              <w:right w:val="single" w:color="auto" w:sz="4" w:space="0"/>
            </w:tcBorders>
            <w:vAlign w:val="center"/>
          </w:tcPr>
          <w:p w14:paraId="5170589B">
            <w:pPr>
              <w:spacing w:line="560" w:lineRule="exact"/>
              <w:jc w:val="center"/>
              <w:rPr>
                <w:rFonts w:eastAsia="新宋体"/>
                <w:b/>
                <w:szCs w:val="21"/>
              </w:rPr>
            </w:pPr>
          </w:p>
        </w:tc>
        <w:tc>
          <w:tcPr>
            <w:tcW w:w="3508" w:type="dxa"/>
            <w:tcBorders>
              <w:top w:val="single" w:color="auto" w:sz="4" w:space="0"/>
              <w:left w:val="single" w:color="auto" w:sz="4" w:space="0"/>
              <w:bottom w:val="single" w:color="auto" w:sz="4" w:space="0"/>
              <w:right w:val="single" w:color="auto" w:sz="4" w:space="0"/>
            </w:tcBorders>
            <w:vAlign w:val="center"/>
          </w:tcPr>
          <w:p w14:paraId="5D331563">
            <w:pPr>
              <w:spacing w:line="560" w:lineRule="exact"/>
              <w:jc w:val="center"/>
              <w:rPr>
                <w:rFonts w:eastAsia="新宋体"/>
                <w:b/>
                <w:szCs w:val="21"/>
              </w:rPr>
            </w:pPr>
          </w:p>
        </w:tc>
      </w:tr>
      <w:tr w14:paraId="385A7C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22519829">
            <w:pPr>
              <w:spacing w:line="560" w:lineRule="exact"/>
              <w:jc w:val="center"/>
              <w:rPr>
                <w:rFonts w:eastAsia="新宋体"/>
                <w:b/>
                <w:szCs w:val="21"/>
              </w:rPr>
            </w:pPr>
            <w:r>
              <w:rPr>
                <w:rFonts w:eastAsia="新宋体"/>
                <w:b/>
                <w:szCs w:val="21"/>
              </w:rPr>
              <w:t>主管金龙配件人员</w:t>
            </w:r>
          </w:p>
        </w:tc>
        <w:tc>
          <w:tcPr>
            <w:tcW w:w="1344" w:type="dxa"/>
            <w:tcBorders>
              <w:top w:val="single" w:color="auto" w:sz="4" w:space="0"/>
              <w:left w:val="single" w:color="auto" w:sz="4" w:space="0"/>
              <w:bottom w:val="single" w:color="auto" w:sz="4" w:space="0"/>
              <w:right w:val="single" w:color="auto" w:sz="4" w:space="0"/>
            </w:tcBorders>
            <w:vAlign w:val="center"/>
          </w:tcPr>
          <w:p w14:paraId="2F472281">
            <w:pPr>
              <w:spacing w:line="560" w:lineRule="exact"/>
              <w:jc w:val="center"/>
              <w:rPr>
                <w:rFonts w:eastAsia="新宋体"/>
                <w:b/>
                <w:szCs w:val="21"/>
              </w:rPr>
            </w:pPr>
          </w:p>
        </w:tc>
        <w:tc>
          <w:tcPr>
            <w:tcW w:w="1754" w:type="dxa"/>
            <w:tcBorders>
              <w:top w:val="single" w:color="auto" w:sz="4" w:space="0"/>
              <w:left w:val="single" w:color="auto" w:sz="4" w:space="0"/>
              <w:bottom w:val="single" w:color="auto" w:sz="4" w:space="0"/>
              <w:right w:val="single" w:color="auto" w:sz="4" w:space="0"/>
            </w:tcBorders>
            <w:vAlign w:val="center"/>
          </w:tcPr>
          <w:p w14:paraId="57037EE3">
            <w:pPr>
              <w:spacing w:line="560" w:lineRule="exact"/>
              <w:jc w:val="center"/>
              <w:rPr>
                <w:rFonts w:eastAsia="新宋体"/>
                <w:b/>
                <w:szCs w:val="21"/>
              </w:rPr>
            </w:pPr>
          </w:p>
        </w:tc>
        <w:tc>
          <w:tcPr>
            <w:tcW w:w="3508" w:type="dxa"/>
            <w:tcBorders>
              <w:top w:val="single" w:color="auto" w:sz="4" w:space="0"/>
              <w:left w:val="single" w:color="auto" w:sz="4" w:space="0"/>
              <w:bottom w:val="single" w:color="auto" w:sz="4" w:space="0"/>
              <w:right w:val="single" w:color="auto" w:sz="4" w:space="0"/>
            </w:tcBorders>
            <w:vAlign w:val="center"/>
          </w:tcPr>
          <w:p w14:paraId="57CB9686">
            <w:pPr>
              <w:spacing w:line="560" w:lineRule="exact"/>
              <w:jc w:val="center"/>
              <w:rPr>
                <w:rFonts w:eastAsia="新宋体"/>
                <w:b/>
                <w:szCs w:val="21"/>
              </w:rPr>
            </w:pPr>
          </w:p>
        </w:tc>
      </w:tr>
      <w:tr w14:paraId="23B64E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02692051">
            <w:pPr>
              <w:spacing w:line="560" w:lineRule="exact"/>
              <w:jc w:val="center"/>
              <w:rPr>
                <w:rFonts w:eastAsia="新宋体"/>
                <w:b/>
                <w:szCs w:val="21"/>
              </w:rPr>
            </w:pPr>
            <w:r>
              <w:rPr>
                <w:rFonts w:eastAsia="新宋体"/>
                <w:b/>
                <w:szCs w:val="21"/>
              </w:rPr>
              <w:t>索赔结算人员</w:t>
            </w:r>
          </w:p>
        </w:tc>
        <w:tc>
          <w:tcPr>
            <w:tcW w:w="1344" w:type="dxa"/>
            <w:tcBorders>
              <w:top w:val="single" w:color="auto" w:sz="4" w:space="0"/>
              <w:left w:val="single" w:color="auto" w:sz="4" w:space="0"/>
              <w:bottom w:val="single" w:color="auto" w:sz="4" w:space="0"/>
              <w:right w:val="single" w:color="auto" w:sz="4" w:space="0"/>
            </w:tcBorders>
            <w:vAlign w:val="center"/>
          </w:tcPr>
          <w:p w14:paraId="160976E8">
            <w:pPr>
              <w:spacing w:line="560" w:lineRule="exact"/>
              <w:jc w:val="center"/>
              <w:rPr>
                <w:rFonts w:eastAsia="新宋体"/>
                <w:b/>
                <w:szCs w:val="21"/>
              </w:rPr>
            </w:pPr>
          </w:p>
        </w:tc>
        <w:tc>
          <w:tcPr>
            <w:tcW w:w="1754" w:type="dxa"/>
            <w:tcBorders>
              <w:top w:val="single" w:color="auto" w:sz="4" w:space="0"/>
              <w:left w:val="single" w:color="auto" w:sz="4" w:space="0"/>
              <w:bottom w:val="single" w:color="auto" w:sz="4" w:space="0"/>
              <w:right w:val="single" w:color="auto" w:sz="4" w:space="0"/>
            </w:tcBorders>
            <w:vAlign w:val="center"/>
          </w:tcPr>
          <w:p w14:paraId="04234D99">
            <w:pPr>
              <w:spacing w:line="560" w:lineRule="exact"/>
              <w:jc w:val="center"/>
              <w:rPr>
                <w:rFonts w:eastAsia="新宋体"/>
                <w:b/>
                <w:szCs w:val="21"/>
              </w:rPr>
            </w:pPr>
          </w:p>
        </w:tc>
        <w:tc>
          <w:tcPr>
            <w:tcW w:w="3508" w:type="dxa"/>
            <w:tcBorders>
              <w:top w:val="single" w:color="auto" w:sz="4" w:space="0"/>
              <w:left w:val="single" w:color="auto" w:sz="4" w:space="0"/>
              <w:bottom w:val="single" w:color="auto" w:sz="4" w:space="0"/>
              <w:right w:val="single" w:color="auto" w:sz="4" w:space="0"/>
            </w:tcBorders>
            <w:vAlign w:val="center"/>
          </w:tcPr>
          <w:p w14:paraId="01187E6A">
            <w:pPr>
              <w:spacing w:line="560" w:lineRule="exact"/>
              <w:jc w:val="center"/>
              <w:rPr>
                <w:rFonts w:eastAsia="新宋体"/>
                <w:b/>
                <w:szCs w:val="21"/>
              </w:rPr>
            </w:pPr>
          </w:p>
        </w:tc>
      </w:tr>
      <w:tr w14:paraId="5B43AF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3473" w:type="dxa"/>
            <w:tcBorders>
              <w:top w:val="single" w:color="auto" w:sz="4" w:space="0"/>
              <w:left w:val="single" w:color="auto" w:sz="4" w:space="0"/>
              <w:bottom w:val="single" w:color="auto" w:sz="4" w:space="0"/>
              <w:right w:val="single" w:color="auto" w:sz="4" w:space="0"/>
            </w:tcBorders>
            <w:vAlign w:val="center"/>
          </w:tcPr>
          <w:p w14:paraId="23F6DB1D">
            <w:pPr>
              <w:spacing w:line="560" w:lineRule="exact"/>
              <w:jc w:val="center"/>
              <w:rPr>
                <w:rFonts w:eastAsia="新宋体"/>
                <w:b/>
                <w:szCs w:val="21"/>
              </w:rPr>
            </w:pPr>
            <w:r>
              <w:rPr>
                <w:rFonts w:eastAsia="新宋体"/>
                <w:b/>
                <w:szCs w:val="21"/>
              </w:rPr>
              <w:t>通讯名址、邮编</w:t>
            </w:r>
          </w:p>
        </w:tc>
        <w:tc>
          <w:tcPr>
            <w:tcW w:w="6606" w:type="dxa"/>
            <w:gridSpan w:val="3"/>
            <w:tcBorders>
              <w:top w:val="single" w:color="auto" w:sz="4" w:space="0"/>
              <w:left w:val="single" w:color="auto" w:sz="4" w:space="0"/>
              <w:bottom w:val="single" w:color="auto" w:sz="4" w:space="0"/>
              <w:right w:val="single" w:color="auto" w:sz="4" w:space="0"/>
            </w:tcBorders>
            <w:vAlign w:val="center"/>
          </w:tcPr>
          <w:p w14:paraId="5040A696">
            <w:pPr>
              <w:spacing w:line="560" w:lineRule="exact"/>
              <w:jc w:val="center"/>
              <w:rPr>
                <w:rFonts w:eastAsia="新宋体"/>
                <w:b/>
                <w:szCs w:val="21"/>
              </w:rPr>
            </w:pPr>
          </w:p>
        </w:tc>
      </w:tr>
    </w:tbl>
    <w:p w14:paraId="4EBB6160"/>
    <w:p w14:paraId="059371ED"/>
    <w:p w14:paraId="0486409B"/>
    <w:p w14:paraId="2D6933EE"/>
    <w:p w14:paraId="37F9FF16">
      <w:pPr>
        <w:rPr>
          <w:b/>
          <w:szCs w:val="21"/>
        </w:rPr>
      </w:pPr>
    </w:p>
    <w:p w14:paraId="0CBBCFBA">
      <w:pPr>
        <w:rPr>
          <w:b/>
          <w:szCs w:val="21"/>
        </w:rPr>
      </w:pPr>
    </w:p>
    <w:p w14:paraId="1C1CD928">
      <w:pPr>
        <w:rPr>
          <w:b/>
          <w:szCs w:val="21"/>
        </w:rPr>
      </w:pPr>
    </w:p>
    <w:p w14:paraId="19C38B0E">
      <w:pPr>
        <w:rPr>
          <w:b/>
          <w:szCs w:val="21"/>
        </w:rPr>
      </w:pPr>
    </w:p>
    <w:p w14:paraId="7DBA6269">
      <w:pPr>
        <w:rPr>
          <w:b/>
          <w:szCs w:val="21"/>
        </w:rPr>
      </w:pPr>
    </w:p>
    <w:p w14:paraId="725E5D8A">
      <w:pPr>
        <w:rPr>
          <w:b/>
          <w:szCs w:val="21"/>
        </w:rPr>
      </w:pPr>
    </w:p>
    <w:p w14:paraId="293759AA">
      <w:pPr>
        <w:rPr>
          <w:b/>
          <w:szCs w:val="21"/>
        </w:rPr>
      </w:pPr>
    </w:p>
    <w:p w14:paraId="4B77A334">
      <w:pPr>
        <w:rPr>
          <w:b/>
          <w:szCs w:val="21"/>
        </w:rPr>
      </w:pPr>
    </w:p>
    <w:p w14:paraId="47BCD091">
      <w:pPr>
        <w:rPr>
          <w:b/>
          <w:szCs w:val="21"/>
        </w:rPr>
      </w:pPr>
    </w:p>
    <w:p w14:paraId="319A19E0">
      <w:pPr>
        <w:rPr>
          <w:b/>
          <w:szCs w:val="21"/>
        </w:rPr>
      </w:pPr>
    </w:p>
    <w:p w14:paraId="7FDF7FFC">
      <w:pPr>
        <w:rPr>
          <w:b/>
          <w:szCs w:val="21"/>
        </w:rPr>
      </w:pPr>
    </w:p>
    <w:p w14:paraId="3C3DF00A">
      <w:pPr>
        <w:rPr>
          <w:b/>
          <w:szCs w:val="21"/>
        </w:rPr>
      </w:pPr>
    </w:p>
    <w:p w14:paraId="2F2E9576">
      <w:pPr>
        <w:rPr>
          <w:b/>
          <w:szCs w:val="21"/>
        </w:rPr>
      </w:pPr>
    </w:p>
    <w:p w14:paraId="2928A3F0">
      <w:pPr>
        <w:rPr>
          <w:b/>
          <w:szCs w:val="21"/>
        </w:rPr>
      </w:pPr>
    </w:p>
    <w:p w14:paraId="17260063">
      <w:pPr>
        <w:rPr>
          <w:b/>
          <w:szCs w:val="21"/>
        </w:rPr>
      </w:pPr>
    </w:p>
    <w:p w14:paraId="27E99368">
      <w:pPr>
        <w:rPr>
          <w:b/>
          <w:szCs w:val="21"/>
        </w:rPr>
      </w:pPr>
    </w:p>
    <w:p w14:paraId="46C8D486">
      <w:pPr>
        <w:rPr>
          <w:b/>
          <w:szCs w:val="21"/>
        </w:rPr>
      </w:pPr>
    </w:p>
    <w:p w14:paraId="218DE70F">
      <w:pPr>
        <w:rPr>
          <w:b/>
          <w:szCs w:val="21"/>
        </w:rPr>
      </w:pPr>
    </w:p>
    <w:p w14:paraId="5BE5DDC6">
      <w:pPr>
        <w:rPr>
          <w:b/>
          <w:szCs w:val="21"/>
        </w:rPr>
      </w:pPr>
    </w:p>
    <w:p w14:paraId="1C79DF08">
      <w:pPr>
        <w:rPr>
          <w:b/>
          <w:szCs w:val="21"/>
        </w:rPr>
      </w:pPr>
    </w:p>
    <w:p w14:paraId="0A6DF12E">
      <w:pPr>
        <w:rPr>
          <w:b/>
          <w:szCs w:val="21"/>
        </w:rPr>
      </w:pPr>
    </w:p>
    <w:p w14:paraId="36CA18D3">
      <w:pPr>
        <w:rPr>
          <w:b/>
          <w:szCs w:val="21"/>
        </w:rPr>
      </w:pPr>
    </w:p>
    <w:sectPr>
      <w:footerReference r:id="rId3" w:type="default"/>
      <w:pgSz w:w="11906" w:h="16838"/>
      <w:pgMar w:top="1134" w:right="1133" w:bottom="1134" w:left="1418" w:header="340" w:footer="510"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
    <w:altName w:val="Malgun Gothic"/>
    <w:panose1 w:val="00000000000000000000"/>
    <w:charset w:val="81"/>
    <w:family w:val="roman"/>
    <w:pitch w:val="default"/>
    <w:sig w:usb0="00000000" w:usb1="00000000" w:usb2="00000010" w:usb3="00000000" w:csb0="00080001" w:csb1="00000000"/>
  </w:font>
  <w:font w:name="Courier New">
    <w:panose1 w:val="02070309020205020404"/>
    <w:charset w:val="00"/>
    <w:family w:val="modern"/>
    <w:pitch w:val="default"/>
    <w:sig w:usb0="E0002EFF" w:usb1="C0007843" w:usb2="00000009" w:usb3="00000000" w:csb0="400001FF" w:csb1="FFFF0000"/>
  </w:font>
  <w:font w:name="新宋体">
    <w:panose1 w:val="02010609030101010101"/>
    <w:charset w:val="86"/>
    <w:family w:val="modern"/>
    <w:pitch w:val="default"/>
    <w:sig w:usb0="00000283" w:usb1="288F0000" w:usb2="0000000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9CE39">
    <w:pPr>
      <w:pStyle w:val="7"/>
      <w:jc w:val="center"/>
    </w:pPr>
    <w:r>
      <w:fldChar w:fldCharType="begin"/>
    </w:r>
    <w:r>
      <w:instrText xml:space="preserve"> PAGE   \* MERGEFORMAT </w:instrText>
    </w:r>
    <w:r>
      <w:fldChar w:fldCharType="separate"/>
    </w:r>
    <w:r>
      <w:rPr>
        <w:lang w:val="zh-CN"/>
      </w:rPr>
      <w:t>17</w:t>
    </w:r>
    <w:r>
      <w:rPr>
        <w:lang w:val="zh-CN"/>
      </w:rPr>
      <w:fldChar w:fldCharType="end"/>
    </w:r>
  </w:p>
  <w:p w14:paraId="3D69384C">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7826E3"/>
    <w:multiLevelType w:val="multilevel"/>
    <w:tmpl w:val="137826E3"/>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D41057B"/>
    <w:multiLevelType w:val="multilevel"/>
    <w:tmpl w:val="7D41057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30504"/>
    <w:rsid w:val="00002C09"/>
    <w:rsid w:val="00004BFD"/>
    <w:rsid w:val="00005D31"/>
    <w:rsid w:val="00005F67"/>
    <w:rsid w:val="000064C8"/>
    <w:rsid w:val="0000724F"/>
    <w:rsid w:val="000105FA"/>
    <w:rsid w:val="00010C53"/>
    <w:rsid w:val="00012692"/>
    <w:rsid w:val="000132F5"/>
    <w:rsid w:val="000154DA"/>
    <w:rsid w:val="00015E1E"/>
    <w:rsid w:val="0001750A"/>
    <w:rsid w:val="00017F73"/>
    <w:rsid w:val="000201D8"/>
    <w:rsid w:val="000207BC"/>
    <w:rsid w:val="00020BC3"/>
    <w:rsid w:val="0002107E"/>
    <w:rsid w:val="00021296"/>
    <w:rsid w:val="000214AF"/>
    <w:rsid w:val="00021BAE"/>
    <w:rsid w:val="0002368F"/>
    <w:rsid w:val="00024927"/>
    <w:rsid w:val="00027EC9"/>
    <w:rsid w:val="00032BE9"/>
    <w:rsid w:val="00032F64"/>
    <w:rsid w:val="00033065"/>
    <w:rsid w:val="00036B3F"/>
    <w:rsid w:val="000400A7"/>
    <w:rsid w:val="000430B6"/>
    <w:rsid w:val="00050036"/>
    <w:rsid w:val="00050D2D"/>
    <w:rsid w:val="00050E85"/>
    <w:rsid w:val="000528F6"/>
    <w:rsid w:val="0005387F"/>
    <w:rsid w:val="00054421"/>
    <w:rsid w:val="00054F06"/>
    <w:rsid w:val="00057439"/>
    <w:rsid w:val="000574B0"/>
    <w:rsid w:val="00057F12"/>
    <w:rsid w:val="00062731"/>
    <w:rsid w:val="00062D08"/>
    <w:rsid w:val="00063BE9"/>
    <w:rsid w:val="0006428B"/>
    <w:rsid w:val="000643F8"/>
    <w:rsid w:val="0006460E"/>
    <w:rsid w:val="000653BC"/>
    <w:rsid w:val="00066DF4"/>
    <w:rsid w:val="00074CD5"/>
    <w:rsid w:val="00074D3E"/>
    <w:rsid w:val="00074DC4"/>
    <w:rsid w:val="00075B4F"/>
    <w:rsid w:val="00076BBE"/>
    <w:rsid w:val="00077E42"/>
    <w:rsid w:val="000803E8"/>
    <w:rsid w:val="000842B3"/>
    <w:rsid w:val="00084EA9"/>
    <w:rsid w:val="00086625"/>
    <w:rsid w:val="000867ED"/>
    <w:rsid w:val="00087619"/>
    <w:rsid w:val="00090120"/>
    <w:rsid w:val="00093F00"/>
    <w:rsid w:val="00095F61"/>
    <w:rsid w:val="0009686E"/>
    <w:rsid w:val="00096AFE"/>
    <w:rsid w:val="00096CC8"/>
    <w:rsid w:val="000A408C"/>
    <w:rsid w:val="000A441D"/>
    <w:rsid w:val="000A4B52"/>
    <w:rsid w:val="000A51F8"/>
    <w:rsid w:val="000A755D"/>
    <w:rsid w:val="000B01B2"/>
    <w:rsid w:val="000B03FB"/>
    <w:rsid w:val="000B0B43"/>
    <w:rsid w:val="000B54C1"/>
    <w:rsid w:val="000B566D"/>
    <w:rsid w:val="000B569F"/>
    <w:rsid w:val="000B768D"/>
    <w:rsid w:val="000B7952"/>
    <w:rsid w:val="000C26BA"/>
    <w:rsid w:val="000C329B"/>
    <w:rsid w:val="000C49B1"/>
    <w:rsid w:val="000C5E98"/>
    <w:rsid w:val="000C5F9A"/>
    <w:rsid w:val="000C7277"/>
    <w:rsid w:val="000C7C53"/>
    <w:rsid w:val="000D0D57"/>
    <w:rsid w:val="000D28A6"/>
    <w:rsid w:val="000D4033"/>
    <w:rsid w:val="000D4FEC"/>
    <w:rsid w:val="000D6CA7"/>
    <w:rsid w:val="000D7245"/>
    <w:rsid w:val="000E2A59"/>
    <w:rsid w:val="000E3B18"/>
    <w:rsid w:val="000E72A8"/>
    <w:rsid w:val="000E78D4"/>
    <w:rsid w:val="000F02CB"/>
    <w:rsid w:val="000F1EBF"/>
    <w:rsid w:val="000F65C7"/>
    <w:rsid w:val="00100399"/>
    <w:rsid w:val="00101E37"/>
    <w:rsid w:val="00105345"/>
    <w:rsid w:val="001114D3"/>
    <w:rsid w:val="00113FF3"/>
    <w:rsid w:val="00114E51"/>
    <w:rsid w:val="001152F8"/>
    <w:rsid w:val="00121193"/>
    <w:rsid w:val="001251BF"/>
    <w:rsid w:val="00132E4D"/>
    <w:rsid w:val="00133E4F"/>
    <w:rsid w:val="0013479C"/>
    <w:rsid w:val="001407CA"/>
    <w:rsid w:val="00141528"/>
    <w:rsid w:val="00141A65"/>
    <w:rsid w:val="00141EDD"/>
    <w:rsid w:val="001429D7"/>
    <w:rsid w:val="00142E8D"/>
    <w:rsid w:val="0014683F"/>
    <w:rsid w:val="00150068"/>
    <w:rsid w:val="00155075"/>
    <w:rsid w:val="00156D89"/>
    <w:rsid w:val="0015761E"/>
    <w:rsid w:val="00157F6F"/>
    <w:rsid w:val="00162C8C"/>
    <w:rsid w:val="00166E12"/>
    <w:rsid w:val="00167C32"/>
    <w:rsid w:val="00167F71"/>
    <w:rsid w:val="001706F6"/>
    <w:rsid w:val="001726F0"/>
    <w:rsid w:val="00172DC3"/>
    <w:rsid w:val="001730CF"/>
    <w:rsid w:val="0017480B"/>
    <w:rsid w:val="00177759"/>
    <w:rsid w:val="001778A2"/>
    <w:rsid w:val="00180B6B"/>
    <w:rsid w:val="00181AB1"/>
    <w:rsid w:val="001866B8"/>
    <w:rsid w:val="00187DFF"/>
    <w:rsid w:val="00191659"/>
    <w:rsid w:val="00193079"/>
    <w:rsid w:val="00193D94"/>
    <w:rsid w:val="00194432"/>
    <w:rsid w:val="00195F08"/>
    <w:rsid w:val="001A0217"/>
    <w:rsid w:val="001A0451"/>
    <w:rsid w:val="001A77A6"/>
    <w:rsid w:val="001B1021"/>
    <w:rsid w:val="001B2CCB"/>
    <w:rsid w:val="001B2FB9"/>
    <w:rsid w:val="001B5D50"/>
    <w:rsid w:val="001B698F"/>
    <w:rsid w:val="001B7A59"/>
    <w:rsid w:val="001C1A86"/>
    <w:rsid w:val="001C1DC3"/>
    <w:rsid w:val="001C4F34"/>
    <w:rsid w:val="001C52C4"/>
    <w:rsid w:val="001C685B"/>
    <w:rsid w:val="001D080C"/>
    <w:rsid w:val="001D2166"/>
    <w:rsid w:val="001D23B3"/>
    <w:rsid w:val="001D46EB"/>
    <w:rsid w:val="001D62C2"/>
    <w:rsid w:val="001E0DF6"/>
    <w:rsid w:val="001E187F"/>
    <w:rsid w:val="001E3D3D"/>
    <w:rsid w:val="001E4BF6"/>
    <w:rsid w:val="001E4EB8"/>
    <w:rsid w:val="001F0E79"/>
    <w:rsid w:val="001F290B"/>
    <w:rsid w:val="001F2B11"/>
    <w:rsid w:val="001F4068"/>
    <w:rsid w:val="00201BFE"/>
    <w:rsid w:val="0020329C"/>
    <w:rsid w:val="00203363"/>
    <w:rsid w:val="002057E0"/>
    <w:rsid w:val="002071B4"/>
    <w:rsid w:val="0021085A"/>
    <w:rsid w:val="0021134A"/>
    <w:rsid w:val="002126E6"/>
    <w:rsid w:val="002151C5"/>
    <w:rsid w:val="002172B9"/>
    <w:rsid w:val="0022440B"/>
    <w:rsid w:val="002245C7"/>
    <w:rsid w:val="002255D9"/>
    <w:rsid w:val="002270F1"/>
    <w:rsid w:val="00227650"/>
    <w:rsid w:val="00230615"/>
    <w:rsid w:val="002306CD"/>
    <w:rsid w:val="00231FDB"/>
    <w:rsid w:val="00232936"/>
    <w:rsid w:val="002337CF"/>
    <w:rsid w:val="002349EE"/>
    <w:rsid w:val="002370E7"/>
    <w:rsid w:val="002376D2"/>
    <w:rsid w:val="00241088"/>
    <w:rsid w:val="00241371"/>
    <w:rsid w:val="00241FC1"/>
    <w:rsid w:val="00244904"/>
    <w:rsid w:val="002450BB"/>
    <w:rsid w:val="00245E2C"/>
    <w:rsid w:val="00246542"/>
    <w:rsid w:val="002467FA"/>
    <w:rsid w:val="0024703F"/>
    <w:rsid w:val="002512B7"/>
    <w:rsid w:val="00253B63"/>
    <w:rsid w:val="00253E80"/>
    <w:rsid w:val="002556AD"/>
    <w:rsid w:val="00256C90"/>
    <w:rsid w:val="00257C14"/>
    <w:rsid w:val="00257C2A"/>
    <w:rsid w:val="00260340"/>
    <w:rsid w:val="00261243"/>
    <w:rsid w:val="002622AA"/>
    <w:rsid w:val="00262E99"/>
    <w:rsid w:val="00262FE6"/>
    <w:rsid w:val="00263F65"/>
    <w:rsid w:val="0026422F"/>
    <w:rsid w:val="0027043E"/>
    <w:rsid w:val="002708AB"/>
    <w:rsid w:val="00273121"/>
    <w:rsid w:val="0027342B"/>
    <w:rsid w:val="00275057"/>
    <w:rsid w:val="0027620C"/>
    <w:rsid w:val="0027748D"/>
    <w:rsid w:val="00281C13"/>
    <w:rsid w:val="00282844"/>
    <w:rsid w:val="00283549"/>
    <w:rsid w:val="00283E10"/>
    <w:rsid w:val="00286708"/>
    <w:rsid w:val="00291BBA"/>
    <w:rsid w:val="002934A6"/>
    <w:rsid w:val="00295D34"/>
    <w:rsid w:val="0029625B"/>
    <w:rsid w:val="00296A0A"/>
    <w:rsid w:val="00297984"/>
    <w:rsid w:val="002A0670"/>
    <w:rsid w:val="002A1755"/>
    <w:rsid w:val="002A1ACB"/>
    <w:rsid w:val="002A627D"/>
    <w:rsid w:val="002B1B2A"/>
    <w:rsid w:val="002B1EC3"/>
    <w:rsid w:val="002B3EFC"/>
    <w:rsid w:val="002B5466"/>
    <w:rsid w:val="002C42E0"/>
    <w:rsid w:val="002C5ED5"/>
    <w:rsid w:val="002C64A1"/>
    <w:rsid w:val="002C7186"/>
    <w:rsid w:val="002D17E3"/>
    <w:rsid w:val="002D1BEA"/>
    <w:rsid w:val="002D3844"/>
    <w:rsid w:val="002D4304"/>
    <w:rsid w:val="002D6A0F"/>
    <w:rsid w:val="002D7358"/>
    <w:rsid w:val="002E3621"/>
    <w:rsid w:val="002E547A"/>
    <w:rsid w:val="002E7BA5"/>
    <w:rsid w:val="002F0CCB"/>
    <w:rsid w:val="002F0D0A"/>
    <w:rsid w:val="002F4509"/>
    <w:rsid w:val="002F538A"/>
    <w:rsid w:val="002F702E"/>
    <w:rsid w:val="002F733B"/>
    <w:rsid w:val="002F7BA1"/>
    <w:rsid w:val="003040D4"/>
    <w:rsid w:val="003060B5"/>
    <w:rsid w:val="0030759E"/>
    <w:rsid w:val="00312EB2"/>
    <w:rsid w:val="003153AA"/>
    <w:rsid w:val="00317E99"/>
    <w:rsid w:val="003208FB"/>
    <w:rsid w:val="0032195B"/>
    <w:rsid w:val="00323340"/>
    <w:rsid w:val="0032588F"/>
    <w:rsid w:val="0033047C"/>
    <w:rsid w:val="00330ACE"/>
    <w:rsid w:val="00330D05"/>
    <w:rsid w:val="0033245B"/>
    <w:rsid w:val="00332B80"/>
    <w:rsid w:val="00332F41"/>
    <w:rsid w:val="00335883"/>
    <w:rsid w:val="003416DA"/>
    <w:rsid w:val="00343102"/>
    <w:rsid w:val="00343A1A"/>
    <w:rsid w:val="00344A3B"/>
    <w:rsid w:val="0034543C"/>
    <w:rsid w:val="003461D1"/>
    <w:rsid w:val="003466DC"/>
    <w:rsid w:val="003467DB"/>
    <w:rsid w:val="00346AE9"/>
    <w:rsid w:val="00350342"/>
    <w:rsid w:val="0035303A"/>
    <w:rsid w:val="00353105"/>
    <w:rsid w:val="0035680F"/>
    <w:rsid w:val="00360FFE"/>
    <w:rsid w:val="00365514"/>
    <w:rsid w:val="00366878"/>
    <w:rsid w:val="003715C4"/>
    <w:rsid w:val="0037547D"/>
    <w:rsid w:val="0037565D"/>
    <w:rsid w:val="00387735"/>
    <w:rsid w:val="00390558"/>
    <w:rsid w:val="0039189E"/>
    <w:rsid w:val="0039534D"/>
    <w:rsid w:val="00395932"/>
    <w:rsid w:val="0039730A"/>
    <w:rsid w:val="00397BCC"/>
    <w:rsid w:val="003A0E80"/>
    <w:rsid w:val="003A12F1"/>
    <w:rsid w:val="003A26A2"/>
    <w:rsid w:val="003A5090"/>
    <w:rsid w:val="003A56F3"/>
    <w:rsid w:val="003A71C6"/>
    <w:rsid w:val="003A7228"/>
    <w:rsid w:val="003A7EDA"/>
    <w:rsid w:val="003A7F6D"/>
    <w:rsid w:val="003B0545"/>
    <w:rsid w:val="003B211A"/>
    <w:rsid w:val="003B2540"/>
    <w:rsid w:val="003B7E33"/>
    <w:rsid w:val="003C05D0"/>
    <w:rsid w:val="003C1A7F"/>
    <w:rsid w:val="003C4135"/>
    <w:rsid w:val="003C6588"/>
    <w:rsid w:val="003C7009"/>
    <w:rsid w:val="003D0BCE"/>
    <w:rsid w:val="003D1D94"/>
    <w:rsid w:val="003D2AFC"/>
    <w:rsid w:val="003D46F4"/>
    <w:rsid w:val="003D5D6C"/>
    <w:rsid w:val="003D62AB"/>
    <w:rsid w:val="003E1380"/>
    <w:rsid w:val="003E2505"/>
    <w:rsid w:val="003E5F9F"/>
    <w:rsid w:val="003E61CC"/>
    <w:rsid w:val="003E7C6C"/>
    <w:rsid w:val="003F0595"/>
    <w:rsid w:val="003F222B"/>
    <w:rsid w:val="003F2F78"/>
    <w:rsid w:val="003F52B0"/>
    <w:rsid w:val="003F6574"/>
    <w:rsid w:val="003F7516"/>
    <w:rsid w:val="00400024"/>
    <w:rsid w:val="004023CE"/>
    <w:rsid w:val="0040272E"/>
    <w:rsid w:val="00403206"/>
    <w:rsid w:val="004057E0"/>
    <w:rsid w:val="00405E08"/>
    <w:rsid w:val="004062B2"/>
    <w:rsid w:val="00406BA5"/>
    <w:rsid w:val="00407E9D"/>
    <w:rsid w:val="004106AB"/>
    <w:rsid w:val="00411BE6"/>
    <w:rsid w:val="00414368"/>
    <w:rsid w:val="00414CD0"/>
    <w:rsid w:val="00415757"/>
    <w:rsid w:val="00415A29"/>
    <w:rsid w:val="00416C1E"/>
    <w:rsid w:val="00416D48"/>
    <w:rsid w:val="00416EC1"/>
    <w:rsid w:val="00424148"/>
    <w:rsid w:val="0042574A"/>
    <w:rsid w:val="00425930"/>
    <w:rsid w:val="004305C1"/>
    <w:rsid w:val="00430785"/>
    <w:rsid w:val="00431D31"/>
    <w:rsid w:val="0043247C"/>
    <w:rsid w:val="00432AB1"/>
    <w:rsid w:val="00434CC3"/>
    <w:rsid w:val="004352C8"/>
    <w:rsid w:val="00435691"/>
    <w:rsid w:val="00436513"/>
    <w:rsid w:val="004366A9"/>
    <w:rsid w:val="00436AEF"/>
    <w:rsid w:val="004374A4"/>
    <w:rsid w:val="00440785"/>
    <w:rsid w:val="004426D4"/>
    <w:rsid w:val="00442FFC"/>
    <w:rsid w:val="00445333"/>
    <w:rsid w:val="004455BF"/>
    <w:rsid w:val="00447286"/>
    <w:rsid w:val="0045018D"/>
    <w:rsid w:val="00450832"/>
    <w:rsid w:val="00452904"/>
    <w:rsid w:val="00453FCE"/>
    <w:rsid w:val="00454ABE"/>
    <w:rsid w:val="00455169"/>
    <w:rsid w:val="00455AE1"/>
    <w:rsid w:val="00455E96"/>
    <w:rsid w:val="00455FFE"/>
    <w:rsid w:val="00456C6A"/>
    <w:rsid w:val="00456EB0"/>
    <w:rsid w:val="00457CF5"/>
    <w:rsid w:val="00461620"/>
    <w:rsid w:val="00466FC0"/>
    <w:rsid w:val="004708B0"/>
    <w:rsid w:val="00471D44"/>
    <w:rsid w:val="00473AE4"/>
    <w:rsid w:val="00481368"/>
    <w:rsid w:val="0048188A"/>
    <w:rsid w:val="00482832"/>
    <w:rsid w:val="00484042"/>
    <w:rsid w:val="0048612C"/>
    <w:rsid w:val="004870A5"/>
    <w:rsid w:val="004907CF"/>
    <w:rsid w:val="00491035"/>
    <w:rsid w:val="00491EFE"/>
    <w:rsid w:val="0049332B"/>
    <w:rsid w:val="004940E6"/>
    <w:rsid w:val="00494183"/>
    <w:rsid w:val="00495485"/>
    <w:rsid w:val="00496EB5"/>
    <w:rsid w:val="00496F02"/>
    <w:rsid w:val="004A0C5A"/>
    <w:rsid w:val="004A1440"/>
    <w:rsid w:val="004A232F"/>
    <w:rsid w:val="004A2552"/>
    <w:rsid w:val="004A25F2"/>
    <w:rsid w:val="004A33BD"/>
    <w:rsid w:val="004A354C"/>
    <w:rsid w:val="004A4BA5"/>
    <w:rsid w:val="004A4DA3"/>
    <w:rsid w:val="004A613D"/>
    <w:rsid w:val="004A6B8D"/>
    <w:rsid w:val="004B0213"/>
    <w:rsid w:val="004B10C3"/>
    <w:rsid w:val="004B1A83"/>
    <w:rsid w:val="004B2480"/>
    <w:rsid w:val="004B3633"/>
    <w:rsid w:val="004B4B82"/>
    <w:rsid w:val="004B4FCA"/>
    <w:rsid w:val="004B533D"/>
    <w:rsid w:val="004B64E0"/>
    <w:rsid w:val="004B66E4"/>
    <w:rsid w:val="004B6846"/>
    <w:rsid w:val="004C1AD3"/>
    <w:rsid w:val="004C2AE7"/>
    <w:rsid w:val="004C322A"/>
    <w:rsid w:val="004C6164"/>
    <w:rsid w:val="004C6707"/>
    <w:rsid w:val="004C6CCF"/>
    <w:rsid w:val="004C6F9C"/>
    <w:rsid w:val="004C7657"/>
    <w:rsid w:val="004D2E80"/>
    <w:rsid w:val="004D4C2E"/>
    <w:rsid w:val="004D4F74"/>
    <w:rsid w:val="004D62CF"/>
    <w:rsid w:val="004D6E83"/>
    <w:rsid w:val="004D6E9F"/>
    <w:rsid w:val="004D75BA"/>
    <w:rsid w:val="004D7E32"/>
    <w:rsid w:val="004E0379"/>
    <w:rsid w:val="004E188B"/>
    <w:rsid w:val="004E18DC"/>
    <w:rsid w:val="004E1D91"/>
    <w:rsid w:val="004E4C29"/>
    <w:rsid w:val="004E53FA"/>
    <w:rsid w:val="004E55C6"/>
    <w:rsid w:val="004E6854"/>
    <w:rsid w:val="004E7433"/>
    <w:rsid w:val="004F10F4"/>
    <w:rsid w:val="004F33C6"/>
    <w:rsid w:val="004F3660"/>
    <w:rsid w:val="004F434F"/>
    <w:rsid w:val="004F474E"/>
    <w:rsid w:val="004F503F"/>
    <w:rsid w:val="004F5113"/>
    <w:rsid w:val="004F5A46"/>
    <w:rsid w:val="004F66F2"/>
    <w:rsid w:val="004F7ED7"/>
    <w:rsid w:val="00500E50"/>
    <w:rsid w:val="0050170C"/>
    <w:rsid w:val="0050361F"/>
    <w:rsid w:val="00503E67"/>
    <w:rsid w:val="005123F8"/>
    <w:rsid w:val="00512717"/>
    <w:rsid w:val="005157F0"/>
    <w:rsid w:val="005168BC"/>
    <w:rsid w:val="00521B4A"/>
    <w:rsid w:val="00521F57"/>
    <w:rsid w:val="00522E19"/>
    <w:rsid w:val="00524AEE"/>
    <w:rsid w:val="00526941"/>
    <w:rsid w:val="00526E3A"/>
    <w:rsid w:val="0052753C"/>
    <w:rsid w:val="005304AB"/>
    <w:rsid w:val="00530A56"/>
    <w:rsid w:val="00530C28"/>
    <w:rsid w:val="00531425"/>
    <w:rsid w:val="00532AF0"/>
    <w:rsid w:val="005336C7"/>
    <w:rsid w:val="00537870"/>
    <w:rsid w:val="00537A45"/>
    <w:rsid w:val="0054217C"/>
    <w:rsid w:val="00542CC0"/>
    <w:rsid w:val="00543D3D"/>
    <w:rsid w:val="0054616E"/>
    <w:rsid w:val="00552414"/>
    <w:rsid w:val="0055255B"/>
    <w:rsid w:val="005561CB"/>
    <w:rsid w:val="005562DF"/>
    <w:rsid w:val="00561AE3"/>
    <w:rsid w:val="0056637C"/>
    <w:rsid w:val="0057000D"/>
    <w:rsid w:val="005702B1"/>
    <w:rsid w:val="0057125B"/>
    <w:rsid w:val="00575BC1"/>
    <w:rsid w:val="005814DE"/>
    <w:rsid w:val="005861E3"/>
    <w:rsid w:val="00592154"/>
    <w:rsid w:val="00592959"/>
    <w:rsid w:val="0059328A"/>
    <w:rsid w:val="005939AC"/>
    <w:rsid w:val="005949B6"/>
    <w:rsid w:val="00594F24"/>
    <w:rsid w:val="005976F0"/>
    <w:rsid w:val="005A1077"/>
    <w:rsid w:val="005A1871"/>
    <w:rsid w:val="005A2F54"/>
    <w:rsid w:val="005A329A"/>
    <w:rsid w:val="005A43C9"/>
    <w:rsid w:val="005A4529"/>
    <w:rsid w:val="005A5D4A"/>
    <w:rsid w:val="005A6D23"/>
    <w:rsid w:val="005A7E8C"/>
    <w:rsid w:val="005B0FCC"/>
    <w:rsid w:val="005B6678"/>
    <w:rsid w:val="005B6A2F"/>
    <w:rsid w:val="005B6B1C"/>
    <w:rsid w:val="005B6EC7"/>
    <w:rsid w:val="005C1271"/>
    <w:rsid w:val="005C1CA5"/>
    <w:rsid w:val="005C3216"/>
    <w:rsid w:val="005C4152"/>
    <w:rsid w:val="005C41B3"/>
    <w:rsid w:val="005C4267"/>
    <w:rsid w:val="005C57A1"/>
    <w:rsid w:val="005C7EC3"/>
    <w:rsid w:val="005D05F2"/>
    <w:rsid w:val="005D06E2"/>
    <w:rsid w:val="005D0B8E"/>
    <w:rsid w:val="005D1BA6"/>
    <w:rsid w:val="005D2D69"/>
    <w:rsid w:val="005D5D87"/>
    <w:rsid w:val="005D68A1"/>
    <w:rsid w:val="005E23AD"/>
    <w:rsid w:val="005E4139"/>
    <w:rsid w:val="005E49EF"/>
    <w:rsid w:val="005F1877"/>
    <w:rsid w:val="005F2043"/>
    <w:rsid w:val="005F25AE"/>
    <w:rsid w:val="005F2D00"/>
    <w:rsid w:val="005F327F"/>
    <w:rsid w:val="005F3D39"/>
    <w:rsid w:val="005F62E2"/>
    <w:rsid w:val="005F65B4"/>
    <w:rsid w:val="005F6645"/>
    <w:rsid w:val="006021DB"/>
    <w:rsid w:val="00602494"/>
    <w:rsid w:val="00602B9B"/>
    <w:rsid w:val="00605713"/>
    <w:rsid w:val="0060597B"/>
    <w:rsid w:val="00605FB9"/>
    <w:rsid w:val="00610011"/>
    <w:rsid w:val="006132C5"/>
    <w:rsid w:val="0061479A"/>
    <w:rsid w:val="006148F6"/>
    <w:rsid w:val="00614BAB"/>
    <w:rsid w:val="006153CC"/>
    <w:rsid w:val="00617A99"/>
    <w:rsid w:val="00620973"/>
    <w:rsid w:val="00620EB8"/>
    <w:rsid w:val="00621081"/>
    <w:rsid w:val="00623BC2"/>
    <w:rsid w:val="006254E5"/>
    <w:rsid w:val="006279FA"/>
    <w:rsid w:val="00630801"/>
    <w:rsid w:val="0063146D"/>
    <w:rsid w:val="00631585"/>
    <w:rsid w:val="0063180D"/>
    <w:rsid w:val="00631C33"/>
    <w:rsid w:val="00632B08"/>
    <w:rsid w:val="00633D3D"/>
    <w:rsid w:val="00634502"/>
    <w:rsid w:val="00635673"/>
    <w:rsid w:val="0063634B"/>
    <w:rsid w:val="00636A9F"/>
    <w:rsid w:val="0064071F"/>
    <w:rsid w:val="00642DBC"/>
    <w:rsid w:val="006451E1"/>
    <w:rsid w:val="0064614F"/>
    <w:rsid w:val="00647685"/>
    <w:rsid w:val="006509DD"/>
    <w:rsid w:val="00651A3F"/>
    <w:rsid w:val="00651ED0"/>
    <w:rsid w:val="0065638D"/>
    <w:rsid w:val="00661DB1"/>
    <w:rsid w:val="00664886"/>
    <w:rsid w:val="00667DC8"/>
    <w:rsid w:val="00670751"/>
    <w:rsid w:val="0067257D"/>
    <w:rsid w:val="006732B3"/>
    <w:rsid w:val="00674A70"/>
    <w:rsid w:val="00674B4E"/>
    <w:rsid w:val="006753D9"/>
    <w:rsid w:val="00677F28"/>
    <w:rsid w:val="00680656"/>
    <w:rsid w:val="00680F4F"/>
    <w:rsid w:val="00680FDA"/>
    <w:rsid w:val="00682499"/>
    <w:rsid w:val="0068444B"/>
    <w:rsid w:val="006867D7"/>
    <w:rsid w:val="00690F93"/>
    <w:rsid w:val="0069121B"/>
    <w:rsid w:val="00691258"/>
    <w:rsid w:val="0069148F"/>
    <w:rsid w:val="00691923"/>
    <w:rsid w:val="006933B9"/>
    <w:rsid w:val="00694D85"/>
    <w:rsid w:val="0069528D"/>
    <w:rsid w:val="00695B30"/>
    <w:rsid w:val="00697B9E"/>
    <w:rsid w:val="006A05D4"/>
    <w:rsid w:val="006A3EEE"/>
    <w:rsid w:val="006A4A88"/>
    <w:rsid w:val="006A4E1B"/>
    <w:rsid w:val="006A5E2E"/>
    <w:rsid w:val="006A64F1"/>
    <w:rsid w:val="006A73F9"/>
    <w:rsid w:val="006B1E06"/>
    <w:rsid w:val="006B29B0"/>
    <w:rsid w:val="006B544D"/>
    <w:rsid w:val="006C08B0"/>
    <w:rsid w:val="006C0D91"/>
    <w:rsid w:val="006C0FB8"/>
    <w:rsid w:val="006C4197"/>
    <w:rsid w:val="006C48CE"/>
    <w:rsid w:val="006C4CBE"/>
    <w:rsid w:val="006C50A9"/>
    <w:rsid w:val="006C6966"/>
    <w:rsid w:val="006D1E5E"/>
    <w:rsid w:val="006D2E34"/>
    <w:rsid w:val="006D486D"/>
    <w:rsid w:val="006D5780"/>
    <w:rsid w:val="006D5892"/>
    <w:rsid w:val="006D6175"/>
    <w:rsid w:val="006D672A"/>
    <w:rsid w:val="006D7D60"/>
    <w:rsid w:val="006E33CD"/>
    <w:rsid w:val="006E368C"/>
    <w:rsid w:val="006E74BE"/>
    <w:rsid w:val="006F0EE5"/>
    <w:rsid w:val="006F2457"/>
    <w:rsid w:val="006F369D"/>
    <w:rsid w:val="006F38FE"/>
    <w:rsid w:val="006F45FC"/>
    <w:rsid w:val="006F515F"/>
    <w:rsid w:val="006F5C72"/>
    <w:rsid w:val="006F5E4E"/>
    <w:rsid w:val="006F66FC"/>
    <w:rsid w:val="00703997"/>
    <w:rsid w:val="007052CC"/>
    <w:rsid w:val="00707CE2"/>
    <w:rsid w:val="00711018"/>
    <w:rsid w:val="00711BC5"/>
    <w:rsid w:val="007134C1"/>
    <w:rsid w:val="00714599"/>
    <w:rsid w:val="007158DD"/>
    <w:rsid w:val="00716EF2"/>
    <w:rsid w:val="00721CF6"/>
    <w:rsid w:val="00721E14"/>
    <w:rsid w:val="00722380"/>
    <w:rsid w:val="007227DC"/>
    <w:rsid w:val="007228FE"/>
    <w:rsid w:val="00723992"/>
    <w:rsid w:val="007272E3"/>
    <w:rsid w:val="00737C9D"/>
    <w:rsid w:val="00742B4A"/>
    <w:rsid w:val="007441DF"/>
    <w:rsid w:val="00751486"/>
    <w:rsid w:val="00752FC4"/>
    <w:rsid w:val="00753BAF"/>
    <w:rsid w:val="007552E1"/>
    <w:rsid w:val="007555DD"/>
    <w:rsid w:val="00755679"/>
    <w:rsid w:val="00756D52"/>
    <w:rsid w:val="00762337"/>
    <w:rsid w:val="007630DF"/>
    <w:rsid w:val="0076459B"/>
    <w:rsid w:val="00764847"/>
    <w:rsid w:val="00765B0F"/>
    <w:rsid w:val="00767CEA"/>
    <w:rsid w:val="007717F7"/>
    <w:rsid w:val="007737B0"/>
    <w:rsid w:val="00777804"/>
    <w:rsid w:val="00780110"/>
    <w:rsid w:val="00780FB5"/>
    <w:rsid w:val="0078184F"/>
    <w:rsid w:val="00784E67"/>
    <w:rsid w:val="00784F5B"/>
    <w:rsid w:val="00785EB8"/>
    <w:rsid w:val="007862B8"/>
    <w:rsid w:val="00790EC9"/>
    <w:rsid w:val="0079104E"/>
    <w:rsid w:val="007912BA"/>
    <w:rsid w:val="007949FA"/>
    <w:rsid w:val="007951FD"/>
    <w:rsid w:val="0079716F"/>
    <w:rsid w:val="007A0495"/>
    <w:rsid w:val="007A0B50"/>
    <w:rsid w:val="007A1207"/>
    <w:rsid w:val="007A609D"/>
    <w:rsid w:val="007A66B2"/>
    <w:rsid w:val="007A68A1"/>
    <w:rsid w:val="007B0438"/>
    <w:rsid w:val="007B0A19"/>
    <w:rsid w:val="007B13DE"/>
    <w:rsid w:val="007B1C8B"/>
    <w:rsid w:val="007B1CCF"/>
    <w:rsid w:val="007B284C"/>
    <w:rsid w:val="007B2F4F"/>
    <w:rsid w:val="007B70FE"/>
    <w:rsid w:val="007B749C"/>
    <w:rsid w:val="007C0E08"/>
    <w:rsid w:val="007C3CB8"/>
    <w:rsid w:val="007D042C"/>
    <w:rsid w:val="007D0823"/>
    <w:rsid w:val="007D1652"/>
    <w:rsid w:val="007D3349"/>
    <w:rsid w:val="007D64F7"/>
    <w:rsid w:val="007D6D54"/>
    <w:rsid w:val="007D7142"/>
    <w:rsid w:val="007D7632"/>
    <w:rsid w:val="007D7713"/>
    <w:rsid w:val="007E0065"/>
    <w:rsid w:val="007E0DA3"/>
    <w:rsid w:val="007E209C"/>
    <w:rsid w:val="007E566D"/>
    <w:rsid w:val="007E5A03"/>
    <w:rsid w:val="007E7E28"/>
    <w:rsid w:val="007F178E"/>
    <w:rsid w:val="007F4E12"/>
    <w:rsid w:val="007F6E78"/>
    <w:rsid w:val="0080152D"/>
    <w:rsid w:val="00803CD2"/>
    <w:rsid w:val="00803F88"/>
    <w:rsid w:val="00810E95"/>
    <w:rsid w:val="00813527"/>
    <w:rsid w:val="00813A5E"/>
    <w:rsid w:val="008159BB"/>
    <w:rsid w:val="00820753"/>
    <w:rsid w:val="0082465B"/>
    <w:rsid w:val="00824685"/>
    <w:rsid w:val="00824C06"/>
    <w:rsid w:val="0082756A"/>
    <w:rsid w:val="00827E0D"/>
    <w:rsid w:val="00827F28"/>
    <w:rsid w:val="008301C3"/>
    <w:rsid w:val="00830504"/>
    <w:rsid w:val="00832687"/>
    <w:rsid w:val="0083362A"/>
    <w:rsid w:val="00833D52"/>
    <w:rsid w:val="00835844"/>
    <w:rsid w:val="00840871"/>
    <w:rsid w:val="00841A89"/>
    <w:rsid w:val="008441B3"/>
    <w:rsid w:val="00850ACD"/>
    <w:rsid w:val="00851364"/>
    <w:rsid w:val="00851E29"/>
    <w:rsid w:val="0085215B"/>
    <w:rsid w:val="00853461"/>
    <w:rsid w:val="00854B6F"/>
    <w:rsid w:val="008553D0"/>
    <w:rsid w:val="0085656B"/>
    <w:rsid w:val="00856AAF"/>
    <w:rsid w:val="0085788A"/>
    <w:rsid w:val="0086224F"/>
    <w:rsid w:val="00863EF7"/>
    <w:rsid w:val="00864DBA"/>
    <w:rsid w:val="008650EC"/>
    <w:rsid w:val="00865348"/>
    <w:rsid w:val="00867620"/>
    <w:rsid w:val="0087096A"/>
    <w:rsid w:val="0087129C"/>
    <w:rsid w:val="0087220E"/>
    <w:rsid w:val="008734B4"/>
    <w:rsid w:val="0087423D"/>
    <w:rsid w:val="008746E0"/>
    <w:rsid w:val="00874BCB"/>
    <w:rsid w:val="00875468"/>
    <w:rsid w:val="008757E7"/>
    <w:rsid w:val="008768DD"/>
    <w:rsid w:val="00880787"/>
    <w:rsid w:val="008821C8"/>
    <w:rsid w:val="008826FF"/>
    <w:rsid w:val="00883652"/>
    <w:rsid w:val="00883D12"/>
    <w:rsid w:val="00885B46"/>
    <w:rsid w:val="00887F8D"/>
    <w:rsid w:val="00891DC3"/>
    <w:rsid w:val="00893DBD"/>
    <w:rsid w:val="00895782"/>
    <w:rsid w:val="008965A3"/>
    <w:rsid w:val="00896B4D"/>
    <w:rsid w:val="008A1DAB"/>
    <w:rsid w:val="008A2A7F"/>
    <w:rsid w:val="008A3647"/>
    <w:rsid w:val="008A4147"/>
    <w:rsid w:val="008A4847"/>
    <w:rsid w:val="008A7738"/>
    <w:rsid w:val="008B1EE7"/>
    <w:rsid w:val="008B1FCE"/>
    <w:rsid w:val="008B53B5"/>
    <w:rsid w:val="008C02A5"/>
    <w:rsid w:val="008C1236"/>
    <w:rsid w:val="008C5CC1"/>
    <w:rsid w:val="008C6838"/>
    <w:rsid w:val="008C7D98"/>
    <w:rsid w:val="008D3F68"/>
    <w:rsid w:val="008D6735"/>
    <w:rsid w:val="008D69DB"/>
    <w:rsid w:val="008D6C4E"/>
    <w:rsid w:val="008D736A"/>
    <w:rsid w:val="008E0C35"/>
    <w:rsid w:val="008E256C"/>
    <w:rsid w:val="008E37AF"/>
    <w:rsid w:val="008E4595"/>
    <w:rsid w:val="008E4B69"/>
    <w:rsid w:val="008E6319"/>
    <w:rsid w:val="008E7070"/>
    <w:rsid w:val="008F1692"/>
    <w:rsid w:val="008F4E3E"/>
    <w:rsid w:val="008F5D96"/>
    <w:rsid w:val="008F64C2"/>
    <w:rsid w:val="00900044"/>
    <w:rsid w:val="00900AE8"/>
    <w:rsid w:val="00901CF2"/>
    <w:rsid w:val="00904020"/>
    <w:rsid w:val="009048A1"/>
    <w:rsid w:val="009062F0"/>
    <w:rsid w:val="00906633"/>
    <w:rsid w:val="00907E08"/>
    <w:rsid w:val="00907E43"/>
    <w:rsid w:val="009143EA"/>
    <w:rsid w:val="00914517"/>
    <w:rsid w:val="009149A9"/>
    <w:rsid w:val="00917EC8"/>
    <w:rsid w:val="009208E8"/>
    <w:rsid w:val="00930852"/>
    <w:rsid w:val="00932254"/>
    <w:rsid w:val="00933A4F"/>
    <w:rsid w:val="0093411B"/>
    <w:rsid w:val="00934FF7"/>
    <w:rsid w:val="0093757C"/>
    <w:rsid w:val="00937DC7"/>
    <w:rsid w:val="00941622"/>
    <w:rsid w:val="009417F6"/>
    <w:rsid w:val="00944E00"/>
    <w:rsid w:val="00954FFA"/>
    <w:rsid w:val="00960571"/>
    <w:rsid w:val="00961011"/>
    <w:rsid w:val="0096341E"/>
    <w:rsid w:val="009641C1"/>
    <w:rsid w:val="00964545"/>
    <w:rsid w:val="0096475F"/>
    <w:rsid w:val="00965064"/>
    <w:rsid w:val="0096539D"/>
    <w:rsid w:val="00965A90"/>
    <w:rsid w:val="00965EEB"/>
    <w:rsid w:val="00970D36"/>
    <w:rsid w:val="009744A4"/>
    <w:rsid w:val="00975AD3"/>
    <w:rsid w:val="00980D36"/>
    <w:rsid w:val="009817EE"/>
    <w:rsid w:val="00982A3D"/>
    <w:rsid w:val="00983643"/>
    <w:rsid w:val="00984B25"/>
    <w:rsid w:val="00985E72"/>
    <w:rsid w:val="009901AD"/>
    <w:rsid w:val="0099138B"/>
    <w:rsid w:val="009916F4"/>
    <w:rsid w:val="00991F9A"/>
    <w:rsid w:val="0099289E"/>
    <w:rsid w:val="00992C94"/>
    <w:rsid w:val="00992C9A"/>
    <w:rsid w:val="00993853"/>
    <w:rsid w:val="00995563"/>
    <w:rsid w:val="009959C8"/>
    <w:rsid w:val="00995A81"/>
    <w:rsid w:val="00995AA4"/>
    <w:rsid w:val="00997335"/>
    <w:rsid w:val="009A04D3"/>
    <w:rsid w:val="009A0F0A"/>
    <w:rsid w:val="009A14EA"/>
    <w:rsid w:val="009A3FCC"/>
    <w:rsid w:val="009A6E7B"/>
    <w:rsid w:val="009B1DB5"/>
    <w:rsid w:val="009B2351"/>
    <w:rsid w:val="009B365C"/>
    <w:rsid w:val="009B5790"/>
    <w:rsid w:val="009B600F"/>
    <w:rsid w:val="009B6811"/>
    <w:rsid w:val="009C40C5"/>
    <w:rsid w:val="009C6012"/>
    <w:rsid w:val="009C79DD"/>
    <w:rsid w:val="009D07F7"/>
    <w:rsid w:val="009D0DCA"/>
    <w:rsid w:val="009E14B5"/>
    <w:rsid w:val="009E3F4D"/>
    <w:rsid w:val="009E5F76"/>
    <w:rsid w:val="009E7D2B"/>
    <w:rsid w:val="009F031C"/>
    <w:rsid w:val="009F0A53"/>
    <w:rsid w:val="009F1C0D"/>
    <w:rsid w:val="009F5F6F"/>
    <w:rsid w:val="009F6722"/>
    <w:rsid w:val="009F7579"/>
    <w:rsid w:val="009F7933"/>
    <w:rsid w:val="009F7DEA"/>
    <w:rsid w:val="00A00662"/>
    <w:rsid w:val="00A03A2F"/>
    <w:rsid w:val="00A03BA0"/>
    <w:rsid w:val="00A05B05"/>
    <w:rsid w:val="00A07251"/>
    <w:rsid w:val="00A1077E"/>
    <w:rsid w:val="00A10C68"/>
    <w:rsid w:val="00A15CD8"/>
    <w:rsid w:val="00A16A09"/>
    <w:rsid w:val="00A17326"/>
    <w:rsid w:val="00A20613"/>
    <w:rsid w:val="00A30AE7"/>
    <w:rsid w:val="00A30E0B"/>
    <w:rsid w:val="00A32256"/>
    <w:rsid w:val="00A33A9E"/>
    <w:rsid w:val="00A363B6"/>
    <w:rsid w:val="00A363FA"/>
    <w:rsid w:val="00A36A76"/>
    <w:rsid w:val="00A36B93"/>
    <w:rsid w:val="00A40DC4"/>
    <w:rsid w:val="00A417FB"/>
    <w:rsid w:val="00A44039"/>
    <w:rsid w:val="00A45F6B"/>
    <w:rsid w:val="00A516B3"/>
    <w:rsid w:val="00A546C2"/>
    <w:rsid w:val="00A5651C"/>
    <w:rsid w:val="00A56600"/>
    <w:rsid w:val="00A602DB"/>
    <w:rsid w:val="00A61924"/>
    <w:rsid w:val="00A639B7"/>
    <w:rsid w:val="00A65C44"/>
    <w:rsid w:val="00A65F91"/>
    <w:rsid w:val="00A71726"/>
    <w:rsid w:val="00A7221A"/>
    <w:rsid w:val="00A7528D"/>
    <w:rsid w:val="00A75EF2"/>
    <w:rsid w:val="00A809B6"/>
    <w:rsid w:val="00A81526"/>
    <w:rsid w:val="00A84477"/>
    <w:rsid w:val="00A846FE"/>
    <w:rsid w:val="00A8545D"/>
    <w:rsid w:val="00A85F3B"/>
    <w:rsid w:val="00A87F37"/>
    <w:rsid w:val="00A92859"/>
    <w:rsid w:val="00A929AE"/>
    <w:rsid w:val="00A9534E"/>
    <w:rsid w:val="00A9568E"/>
    <w:rsid w:val="00A96765"/>
    <w:rsid w:val="00AA0481"/>
    <w:rsid w:val="00AA2DA7"/>
    <w:rsid w:val="00AA50EF"/>
    <w:rsid w:val="00AB0444"/>
    <w:rsid w:val="00AB31E4"/>
    <w:rsid w:val="00AB396D"/>
    <w:rsid w:val="00AB4DE4"/>
    <w:rsid w:val="00AB5658"/>
    <w:rsid w:val="00AB56CE"/>
    <w:rsid w:val="00AB6EB2"/>
    <w:rsid w:val="00AC1523"/>
    <w:rsid w:val="00AC22E9"/>
    <w:rsid w:val="00AD151D"/>
    <w:rsid w:val="00AD3AB2"/>
    <w:rsid w:val="00AD4333"/>
    <w:rsid w:val="00AD711C"/>
    <w:rsid w:val="00AE0C04"/>
    <w:rsid w:val="00AE4AA0"/>
    <w:rsid w:val="00AE5604"/>
    <w:rsid w:val="00AE5CA1"/>
    <w:rsid w:val="00AE659C"/>
    <w:rsid w:val="00AE65EA"/>
    <w:rsid w:val="00AE70B4"/>
    <w:rsid w:val="00AF1819"/>
    <w:rsid w:val="00AF182F"/>
    <w:rsid w:val="00AF2D51"/>
    <w:rsid w:val="00AF3044"/>
    <w:rsid w:val="00AF33ED"/>
    <w:rsid w:val="00AF4403"/>
    <w:rsid w:val="00AF4EDD"/>
    <w:rsid w:val="00AF59A0"/>
    <w:rsid w:val="00AF5D77"/>
    <w:rsid w:val="00AF6058"/>
    <w:rsid w:val="00AF67DB"/>
    <w:rsid w:val="00AF7461"/>
    <w:rsid w:val="00B011CA"/>
    <w:rsid w:val="00B03056"/>
    <w:rsid w:val="00B0399E"/>
    <w:rsid w:val="00B04C38"/>
    <w:rsid w:val="00B05A66"/>
    <w:rsid w:val="00B10C69"/>
    <w:rsid w:val="00B160EF"/>
    <w:rsid w:val="00B16E84"/>
    <w:rsid w:val="00B23879"/>
    <w:rsid w:val="00B260F3"/>
    <w:rsid w:val="00B27AFE"/>
    <w:rsid w:val="00B30205"/>
    <w:rsid w:val="00B3021A"/>
    <w:rsid w:val="00B32419"/>
    <w:rsid w:val="00B329F2"/>
    <w:rsid w:val="00B341EC"/>
    <w:rsid w:val="00B36EBC"/>
    <w:rsid w:val="00B37DFF"/>
    <w:rsid w:val="00B42053"/>
    <w:rsid w:val="00B42A8D"/>
    <w:rsid w:val="00B45359"/>
    <w:rsid w:val="00B45DEE"/>
    <w:rsid w:val="00B46502"/>
    <w:rsid w:val="00B47C04"/>
    <w:rsid w:val="00B47ED0"/>
    <w:rsid w:val="00B51558"/>
    <w:rsid w:val="00B51ADB"/>
    <w:rsid w:val="00B523E8"/>
    <w:rsid w:val="00B5270A"/>
    <w:rsid w:val="00B5345B"/>
    <w:rsid w:val="00B55335"/>
    <w:rsid w:val="00B55DD6"/>
    <w:rsid w:val="00B5701B"/>
    <w:rsid w:val="00B5713B"/>
    <w:rsid w:val="00B57813"/>
    <w:rsid w:val="00B57E35"/>
    <w:rsid w:val="00B60AB2"/>
    <w:rsid w:val="00B6317A"/>
    <w:rsid w:val="00B63DC4"/>
    <w:rsid w:val="00B63F6D"/>
    <w:rsid w:val="00B658F0"/>
    <w:rsid w:val="00B70D64"/>
    <w:rsid w:val="00B71448"/>
    <w:rsid w:val="00B72246"/>
    <w:rsid w:val="00B73584"/>
    <w:rsid w:val="00B743E4"/>
    <w:rsid w:val="00B77D2D"/>
    <w:rsid w:val="00B8201A"/>
    <w:rsid w:val="00B84132"/>
    <w:rsid w:val="00B843F3"/>
    <w:rsid w:val="00B84478"/>
    <w:rsid w:val="00B864AD"/>
    <w:rsid w:val="00B87BE6"/>
    <w:rsid w:val="00B91D26"/>
    <w:rsid w:val="00B92087"/>
    <w:rsid w:val="00B96EFB"/>
    <w:rsid w:val="00B97486"/>
    <w:rsid w:val="00BA0536"/>
    <w:rsid w:val="00BA10EE"/>
    <w:rsid w:val="00BA1336"/>
    <w:rsid w:val="00BA2272"/>
    <w:rsid w:val="00BA476E"/>
    <w:rsid w:val="00BA5B74"/>
    <w:rsid w:val="00BA5BD5"/>
    <w:rsid w:val="00BA7155"/>
    <w:rsid w:val="00BB1860"/>
    <w:rsid w:val="00BB3DC6"/>
    <w:rsid w:val="00BB5770"/>
    <w:rsid w:val="00BB5AE6"/>
    <w:rsid w:val="00BB5E3E"/>
    <w:rsid w:val="00BB63EE"/>
    <w:rsid w:val="00BC2306"/>
    <w:rsid w:val="00BC48EE"/>
    <w:rsid w:val="00BC5170"/>
    <w:rsid w:val="00BC5192"/>
    <w:rsid w:val="00BC6000"/>
    <w:rsid w:val="00BC6411"/>
    <w:rsid w:val="00BD0AE5"/>
    <w:rsid w:val="00BD0C09"/>
    <w:rsid w:val="00BD49D5"/>
    <w:rsid w:val="00BD6F4A"/>
    <w:rsid w:val="00BE083A"/>
    <w:rsid w:val="00BE2A60"/>
    <w:rsid w:val="00BE3B8A"/>
    <w:rsid w:val="00BE5770"/>
    <w:rsid w:val="00BE5A8B"/>
    <w:rsid w:val="00BE6C05"/>
    <w:rsid w:val="00BE6D87"/>
    <w:rsid w:val="00BE6E1E"/>
    <w:rsid w:val="00BF0C82"/>
    <w:rsid w:val="00BF1366"/>
    <w:rsid w:val="00BF2569"/>
    <w:rsid w:val="00BF2F78"/>
    <w:rsid w:val="00BF31C8"/>
    <w:rsid w:val="00BF48CC"/>
    <w:rsid w:val="00C04839"/>
    <w:rsid w:val="00C05AEF"/>
    <w:rsid w:val="00C05EB9"/>
    <w:rsid w:val="00C0722E"/>
    <w:rsid w:val="00C10CE5"/>
    <w:rsid w:val="00C1304F"/>
    <w:rsid w:val="00C14361"/>
    <w:rsid w:val="00C14908"/>
    <w:rsid w:val="00C14E5E"/>
    <w:rsid w:val="00C15CBA"/>
    <w:rsid w:val="00C16C83"/>
    <w:rsid w:val="00C17D83"/>
    <w:rsid w:val="00C2043A"/>
    <w:rsid w:val="00C2045F"/>
    <w:rsid w:val="00C26CD9"/>
    <w:rsid w:val="00C27C69"/>
    <w:rsid w:val="00C30780"/>
    <w:rsid w:val="00C31016"/>
    <w:rsid w:val="00C311FE"/>
    <w:rsid w:val="00C34A72"/>
    <w:rsid w:val="00C3609B"/>
    <w:rsid w:val="00C44E8E"/>
    <w:rsid w:val="00C47396"/>
    <w:rsid w:val="00C47C3C"/>
    <w:rsid w:val="00C510A8"/>
    <w:rsid w:val="00C511C5"/>
    <w:rsid w:val="00C567E7"/>
    <w:rsid w:val="00C5781F"/>
    <w:rsid w:val="00C57DF1"/>
    <w:rsid w:val="00C57F82"/>
    <w:rsid w:val="00C628C4"/>
    <w:rsid w:val="00C646CB"/>
    <w:rsid w:val="00C647B6"/>
    <w:rsid w:val="00C669A2"/>
    <w:rsid w:val="00C70FBC"/>
    <w:rsid w:val="00C71725"/>
    <w:rsid w:val="00C72D4E"/>
    <w:rsid w:val="00C73F93"/>
    <w:rsid w:val="00C761C0"/>
    <w:rsid w:val="00C776A7"/>
    <w:rsid w:val="00C80D66"/>
    <w:rsid w:val="00C80E35"/>
    <w:rsid w:val="00C81141"/>
    <w:rsid w:val="00C8315E"/>
    <w:rsid w:val="00C8506A"/>
    <w:rsid w:val="00C853FF"/>
    <w:rsid w:val="00C86630"/>
    <w:rsid w:val="00C87950"/>
    <w:rsid w:val="00C91AC9"/>
    <w:rsid w:val="00C93FFB"/>
    <w:rsid w:val="00C949E1"/>
    <w:rsid w:val="00C96659"/>
    <w:rsid w:val="00C967F6"/>
    <w:rsid w:val="00C96CC9"/>
    <w:rsid w:val="00CA0D62"/>
    <w:rsid w:val="00CA4739"/>
    <w:rsid w:val="00CA6494"/>
    <w:rsid w:val="00CA6B44"/>
    <w:rsid w:val="00CA7124"/>
    <w:rsid w:val="00CA7B86"/>
    <w:rsid w:val="00CB2633"/>
    <w:rsid w:val="00CB3F64"/>
    <w:rsid w:val="00CB40D7"/>
    <w:rsid w:val="00CB51A8"/>
    <w:rsid w:val="00CB5C24"/>
    <w:rsid w:val="00CB5CE5"/>
    <w:rsid w:val="00CB6DD5"/>
    <w:rsid w:val="00CC24B1"/>
    <w:rsid w:val="00CC353D"/>
    <w:rsid w:val="00CC6865"/>
    <w:rsid w:val="00CD1501"/>
    <w:rsid w:val="00CD1574"/>
    <w:rsid w:val="00CD192C"/>
    <w:rsid w:val="00CD2D66"/>
    <w:rsid w:val="00CE04C4"/>
    <w:rsid w:val="00CE25C7"/>
    <w:rsid w:val="00CE3F67"/>
    <w:rsid w:val="00CE401D"/>
    <w:rsid w:val="00CE78E2"/>
    <w:rsid w:val="00CF11E6"/>
    <w:rsid w:val="00CF27B9"/>
    <w:rsid w:val="00CF2D9E"/>
    <w:rsid w:val="00D0007D"/>
    <w:rsid w:val="00D008E7"/>
    <w:rsid w:val="00D0372A"/>
    <w:rsid w:val="00D038B7"/>
    <w:rsid w:val="00D058E8"/>
    <w:rsid w:val="00D07C4F"/>
    <w:rsid w:val="00D10645"/>
    <w:rsid w:val="00D14D76"/>
    <w:rsid w:val="00D17AC4"/>
    <w:rsid w:val="00D17B6B"/>
    <w:rsid w:val="00D20499"/>
    <w:rsid w:val="00D20A6D"/>
    <w:rsid w:val="00D21276"/>
    <w:rsid w:val="00D22FF1"/>
    <w:rsid w:val="00D23A2D"/>
    <w:rsid w:val="00D26200"/>
    <w:rsid w:val="00D268FF"/>
    <w:rsid w:val="00D30620"/>
    <w:rsid w:val="00D33885"/>
    <w:rsid w:val="00D33F2C"/>
    <w:rsid w:val="00D341D7"/>
    <w:rsid w:val="00D369D3"/>
    <w:rsid w:val="00D40366"/>
    <w:rsid w:val="00D432D4"/>
    <w:rsid w:val="00D44948"/>
    <w:rsid w:val="00D46C56"/>
    <w:rsid w:val="00D525E4"/>
    <w:rsid w:val="00D55491"/>
    <w:rsid w:val="00D6000B"/>
    <w:rsid w:val="00D64225"/>
    <w:rsid w:val="00D64622"/>
    <w:rsid w:val="00D73784"/>
    <w:rsid w:val="00D752DB"/>
    <w:rsid w:val="00D757E3"/>
    <w:rsid w:val="00D76041"/>
    <w:rsid w:val="00D7723F"/>
    <w:rsid w:val="00D779D6"/>
    <w:rsid w:val="00D822D3"/>
    <w:rsid w:val="00D823FD"/>
    <w:rsid w:val="00D82A4C"/>
    <w:rsid w:val="00D84DBD"/>
    <w:rsid w:val="00D870E9"/>
    <w:rsid w:val="00D91FC6"/>
    <w:rsid w:val="00D9244A"/>
    <w:rsid w:val="00D93D6C"/>
    <w:rsid w:val="00D94506"/>
    <w:rsid w:val="00D94A1B"/>
    <w:rsid w:val="00D95013"/>
    <w:rsid w:val="00D95606"/>
    <w:rsid w:val="00D95709"/>
    <w:rsid w:val="00DA05BA"/>
    <w:rsid w:val="00DA0DAD"/>
    <w:rsid w:val="00DA1E8C"/>
    <w:rsid w:val="00DA4B1B"/>
    <w:rsid w:val="00DA6FD6"/>
    <w:rsid w:val="00DA734D"/>
    <w:rsid w:val="00DB338E"/>
    <w:rsid w:val="00DB3AC3"/>
    <w:rsid w:val="00DB4E76"/>
    <w:rsid w:val="00DB56B0"/>
    <w:rsid w:val="00DB6925"/>
    <w:rsid w:val="00DB7D24"/>
    <w:rsid w:val="00DC15FE"/>
    <w:rsid w:val="00DC1979"/>
    <w:rsid w:val="00DC32FE"/>
    <w:rsid w:val="00DC5C93"/>
    <w:rsid w:val="00DC5F30"/>
    <w:rsid w:val="00DC6513"/>
    <w:rsid w:val="00DD01AD"/>
    <w:rsid w:val="00DD1D10"/>
    <w:rsid w:val="00DD1DB2"/>
    <w:rsid w:val="00DD31DA"/>
    <w:rsid w:val="00DD41DA"/>
    <w:rsid w:val="00DD5168"/>
    <w:rsid w:val="00DD57C0"/>
    <w:rsid w:val="00DD5CFE"/>
    <w:rsid w:val="00DD66B0"/>
    <w:rsid w:val="00DE0053"/>
    <w:rsid w:val="00DE0C9F"/>
    <w:rsid w:val="00DE181C"/>
    <w:rsid w:val="00DE1963"/>
    <w:rsid w:val="00DE3E42"/>
    <w:rsid w:val="00DE53D4"/>
    <w:rsid w:val="00DE6A8D"/>
    <w:rsid w:val="00DE6C15"/>
    <w:rsid w:val="00DE759F"/>
    <w:rsid w:val="00DF3023"/>
    <w:rsid w:val="00DF42BA"/>
    <w:rsid w:val="00DF5447"/>
    <w:rsid w:val="00DF6740"/>
    <w:rsid w:val="00DF69EA"/>
    <w:rsid w:val="00E00C09"/>
    <w:rsid w:val="00E03914"/>
    <w:rsid w:val="00E03CAE"/>
    <w:rsid w:val="00E0540B"/>
    <w:rsid w:val="00E06699"/>
    <w:rsid w:val="00E0699C"/>
    <w:rsid w:val="00E07054"/>
    <w:rsid w:val="00E07A99"/>
    <w:rsid w:val="00E12376"/>
    <w:rsid w:val="00E145EE"/>
    <w:rsid w:val="00E1499D"/>
    <w:rsid w:val="00E14D55"/>
    <w:rsid w:val="00E15BA8"/>
    <w:rsid w:val="00E1717A"/>
    <w:rsid w:val="00E21000"/>
    <w:rsid w:val="00E21287"/>
    <w:rsid w:val="00E220DE"/>
    <w:rsid w:val="00E24722"/>
    <w:rsid w:val="00E2608C"/>
    <w:rsid w:val="00E261D6"/>
    <w:rsid w:val="00E26A45"/>
    <w:rsid w:val="00E26D53"/>
    <w:rsid w:val="00E274A8"/>
    <w:rsid w:val="00E277E4"/>
    <w:rsid w:val="00E30B1F"/>
    <w:rsid w:val="00E32708"/>
    <w:rsid w:val="00E37653"/>
    <w:rsid w:val="00E40420"/>
    <w:rsid w:val="00E40AF6"/>
    <w:rsid w:val="00E41674"/>
    <w:rsid w:val="00E44FF5"/>
    <w:rsid w:val="00E47191"/>
    <w:rsid w:val="00E50BD8"/>
    <w:rsid w:val="00E51E31"/>
    <w:rsid w:val="00E52DBA"/>
    <w:rsid w:val="00E53C17"/>
    <w:rsid w:val="00E55605"/>
    <w:rsid w:val="00E5716D"/>
    <w:rsid w:val="00E60734"/>
    <w:rsid w:val="00E60A4E"/>
    <w:rsid w:val="00E633E1"/>
    <w:rsid w:val="00E65EC6"/>
    <w:rsid w:val="00E71D6D"/>
    <w:rsid w:val="00E72126"/>
    <w:rsid w:val="00E72F72"/>
    <w:rsid w:val="00E75280"/>
    <w:rsid w:val="00E75AA9"/>
    <w:rsid w:val="00E76DE7"/>
    <w:rsid w:val="00E80635"/>
    <w:rsid w:val="00E80D4E"/>
    <w:rsid w:val="00E81796"/>
    <w:rsid w:val="00E8179C"/>
    <w:rsid w:val="00E833EB"/>
    <w:rsid w:val="00E83FCA"/>
    <w:rsid w:val="00E86B7F"/>
    <w:rsid w:val="00E90B98"/>
    <w:rsid w:val="00E911C7"/>
    <w:rsid w:val="00E911D5"/>
    <w:rsid w:val="00E92BC1"/>
    <w:rsid w:val="00E92C42"/>
    <w:rsid w:val="00E94A73"/>
    <w:rsid w:val="00E94E82"/>
    <w:rsid w:val="00E96A08"/>
    <w:rsid w:val="00E975FB"/>
    <w:rsid w:val="00EA0AF8"/>
    <w:rsid w:val="00EA50EA"/>
    <w:rsid w:val="00EA706E"/>
    <w:rsid w:val="00EA7E5C"/>
    <w:rsid w:val="00EB34CE"/>
    <w:rsid w:val="00EB6DFC"/>
    <w:rsid w:val="00EB7040"/>
    <w:rsid w:val="00EB797E"/>
    <w:rsid w:val="00EC1A7C"/>
    <w:rsid w:val="00EC59C6"/>
    <w:rsid w:val="00EC6AB0"/>
    <w:rsid w:val="00ED02E3"/>
    <w:rsid w:val="00ED2001"/>
    <w:rsid w:val="00ED3733"/>
    <w:rsid w:val="00ED56A3"/>
    <w:rsid w:val="00ED6C8D"/>
    <w:rsid w:val="00ED7A30"/>
    <w:rsid w:val="00ED7D7A"/>
    <w:rsid w:val="00EF3980"/>
    <w:rsid w:val="00EF4BD5"/>
    <w:rsid w:val="00F0021D"/>
    <w:rsid w:val="00F02335"/>
    <w:rsid w:val="00F02BF2"/>
    <w:rsid w:val="00F0315D"/>
    <w:rsid w:val="00F0796E"/>
    <w:rsid w:val="00F105B4"/>
    <w:rsid w:val="00F10F3F"/>
    <w:rsid w:val="00F12AB2"/>
    <w:rsid w:val="00F166AB"/>
    <w:rsid w:val="00F207BD"/>
    <w:rsid w:val="00F20992"/>
    <w:rsid w:val="00F216DD"/>
    <w:rsid w:val="00F22713"/>
    <w:rsid w:val="00F23908"/>
    <w:rsid w:val="00F24BE5"/>
    <w:rsid w:val="00F26248"/>
    <w:rsid w:val="00F318C6"/>
    <w:rsid w:val="00F3252C"/>
    <w:rsid w:val="00F33E92"/>
    <w:rsid w:val="00F36AFB"/>
    <w:rsid w:val="00F40D99"/>
    <w:rsid w:val="00F41EB6"/>
    <w:rsid w:val="00F41EE7"/>
    <w:rsid w:val="00F425F6"/>
    <w:rsid w:val="00F438DD"/>
    <w:rsid w:val="00F460C2"/>
    <w:rsid w:val="00F4654C"/>
    <w:rsid w:val="00F47E58"/>
    <w:rsid w:val="00F508CF"/>
    <w:rsid w:val="00F50A87"/>
    <w:rsid w:val="00F51AD8"/>
    <w:rsid w:val="00F54A4B"/>
    <w:rsid w:val="00F57E4E"/>
    <w:rsid w:val="00F6103D"/>
    <w:rsid w:val="00F614B1"/>
    <w:rsid w:val="00F619DC"/>
    <w:rsid w:val="00F64D82"/>
    <w:rsid w:val="00F665D5"/>
    <w:rsid w:val="00F708B8"/>
    <w:rsid w:val="00F723A9"/>
    <w:rsid w:val="00F7559B"/>
    <w:rsid w:val="00F77AE1"/>
    <w:rsid w:val="00F804D7"/>
    <w:rsid w:val="00F81EBB"/>
    <w:rsid w:val="00F92D88"/>
    <w:rsid w:val="00F933E8"/>
    <w:rsid w:val="00F935AA"/>
    <w:rsid w:val="00F935DC"/>
    <w:rsid w:val="00F95195"/>
    <w:rsid w:val="00F957F0"/>
    <w:rsid w:val="00FA0299"/>
    <w:rsid w:val="00FA0580"/>
    <w:rsid w:val="00FA1A8D"/>
    <w:rsid w:val="00FA2CE9"/>
    <w:rsid w:val="00FA316D"/>
    <w:rsid w:val="00FA3E2D"/>
    <w:rsid w:val="00FA54C7"/>
    <w:rsid w:val="00FA56C4"/>
    <w:rsid w:val="00FB0B82"/>
    <w:rsid w:val="00FB0DAE"/>
    <w:rsid w:val="00FC0AC9"/>
    <w:rsid w:val="00FC0DC5"/>
    <w:rsid w:val="00FC0EE1"/>
    <w:rsid w:val="00FC12D0"/>
    <w:rsid w:val="00FC1530"/>
    <w:rsid w:val="00FC1599"/>
    <w:rsid w:val="00FC1A96"/>
    <w:rsid w:val="00FC444A"/>
    <w:rsid w:val="00FC6516"/>
    <w:rsid w:val="00FD024B"/>
    <w:rsid w:val="00FD1CF3"/>
    <w:rsid w:val="00FD28FB"/>
    <w:rsid w:val="00FD2D08"/>
    <w:rsid w:val="00FD301B"/>
    <w:rsid w:val="00FD44BD"/>
    <w:rsid w:val="00FD4739"/>
    <w:rsid w:val="00FD4A6F"/>
    <w:rsid w:val="00FD5FAF"/>
    <w:rsid w:val="00FD61F3"/>
    <w:rsid w:val="00FD65D6"/>
    <w:rsid w:val="00FD7A40"/>
    <w:rsid w:val="00FE2D89"/>
    <w:rsid w:val="00FE2E77"/>
    <w:rsid w:val="00FE339D"/>
    <w:rsid w:val="00FE569C"/>
    <w:rsid w:val="00FE7629"/>
    <w:rsid w:val="00FF0022"/>
    <w:rsid w:val="00FF166E"/>
    <w:rsid w:val="00FF2B1C"/>
    <w:rsid w:val="00FF561F"/>
    <w:rsid w:val="00FF5B21"/>
    <w:rsid w:val="00FF5FD2"/>
    <w:rsid w:val="00FF6DA2"/>
    <w:rsid w:val="0AF7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99"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5"/>
    <w:uiPriority w:val="0"/>
    <w:pPr>
      <w:jc w:val="left"/>
    </w:pPr>
  </w:style>
  <w:style w:type="paragraph" w:styleId="3">
    <w:name w:val="Body Text Indent"/>
    <w:basedOn w:val="1"/>
    <w:link w:val="21"/>
    <w:uiPriority w:val="0"/>
    <w:pPr>
      <w:spacing w:line="360" w:lineRule="auto"/>
      <w:ind w:firstLine="570"/>
    </w:pPr>
    <w:rPr>
      <w:rFonts w:hint="eastAsia" w:ascii="宋体"/>
      <w:sz w:val="28"/>
      <w:szCs w:val="20"/>
    </w:rPr>
  </w:style>
  <w:style w:type="paragraph" w:styleId="4">
    <w:name w:val="Plain Text"/>
    <w:basedOn w:val="1"/>
    <w:link w:val="23"/>
    <w:qFormat/>
    <w:uiPriority w:val="0"/>
    <w:pPr>
      <w:wordWrap w:val="0"/>
    </w:pPr>
    <w:rPr>
      <w:rFonts w:hint="eastAsia" w:ascii="???" w:hAnsi="Courier New" w:eastAsia="???"/>
      <w:sz w:val="20"/>
      <w:szCs w:val="20"/>
    </w:rPr>
  </w:style>
  <w:style w:type="paragraph" w:styleId="5">
    <w:name w:val="Date"/>
    <w:basedOn w:val="1"/>
    <w:next w:val="1"/>
    <w:link w:val="29"/>
    <w:qFormat/>
    <w:uiPriority w:val="0"/>
    <w:pPr>
      <w:ind w:left="100" w:leftChars="2500"/>
    </w:pPr>
  </w:style>
  <w:style w:type="paragraph" w:styleId="6">
    <w:name w:val="Balloon Text"/>
    <w:basedOn w:val="1"/>
    <w:link w:val="20"/>
    <w:qFormat/>
    <w:uiPriority w:val="0"/>
    <w:rPr>
      <w:sz w:val="18"/>
      <w:szCs w:val="18"/>
    </w:rPr>
  </w:style>
  <w:style w:type="paragraph" w:styleId="7">
    <w:name w:val="footer"/>
    <w:basedOn w:val="1"/>
    <w:link w:val="24"/>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0">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1">
    <w:name w:val="annotation subject"/>
    <w:basedOn w:val="2"/>
    <w:next w:val="2"/>
    <w:link w:val="28"/>
    <w:uiPriority w:val="0"/>
    <w:rPr>
      <w:b/>
      <w:bCs/>
    </w:rPr>
  </w:style>
  <w:style w:type="table" w:styleId="13">
    <w:name w:val="Table Grid"/>
    <w:basedOn w:val="12"/>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uiPriority w:val="0"/>
  </w:style>
  <w:style w:type="character" w:styleId="16">
    <w:name w:val="Hyperlink"/>
    <w:unhideWhenUsed/>
    <w:uiPriority w:val="99"/>
    <w:rPr>
      <w:color w:val="0000FF"/>
      <w:u w:val="single"/>
    </w:rPr>
  </w:style>
  <w:style w:type="character" w:styleId="17">
    <w:name w:val="annotation reference"/>
    <w:qFormat/>
    <w:uiPriority w:val="0"/>
    <w:rPr>
      <w:sz w:val="21"/>
      <w:szCs w:val="21"/>
    </w:rPr>
  </w:style>
  <w:style w:type="paragraph" w:customStyle="1" w:styleId="18">
    <w:name w:val="Char"/>
    <w:basedOn w:val="1"/>
    <w:autoRedefine/>
    <w:qFormat/>
    <w:uiPriority w:val="0"/>
  </w:style>
  <w:style w:type="paragraph" w:customStyle="1" w:styleId="19">
    <w:name w:val="Char Char Char Char"/>
    <w:basedOn w:val="1"/>
    <w:qFormat/>
    <w:uiPriority w:val="0"/>
    <w:pPr>
      <w:widowControl/>
      <w:spacing w:after="160" w:line="240" w:lineRule="exact"/>
      <w:jc w:val="left"/>
    </w:pPr>
    <w:rPr>
      <w:rFonts w:ascii="Tahoma" w:hAnsi="Tahoma"/>
      <w:kern w:val="0"/>
      <w:sz w:val="20"/>
      <w:szCs w:val="20"/>
      <w:lang w:eastAsia="en-US"/>
    </w:rPr>
  </w:style>
  <w:style w:type="character" w:customStyle="1" w:styleId="20">
    <w:name w:val="批注框文本 字符"/>
    <w:link w:val="6"/>
    <w:qFormat/>
    <w:uiPriority w:val="0"/>
    <w:rPr>
      <w:kern w:val="2"/>
      <w:sz w:val="18"/>
      <w:szCs w:val="18"/>
    </w:rPr>
  </w:style>
  <w:style w:type="character" w:customStyle="1" w:styleId="21">
    <w:name w:val="正文文本缩进 字符"/>
    <w:link w:val="3"/>
    <w:uiPriority w:val="99"/>
    <w:rPr>
      <w:rFonts w:ascii="宋体"/>
      <w:kern w:val="2"/>
      <w:sz w:val="28"/>
    </w:rPr>
  </w:style>
  <w:style w:type="paragraph" w:styleId="22">
    <w:name w:val="List Paragraph"/>
    <w:basedOn w:val="1"/>
    <w:qFormat/>
    <w:uiPriority w:val="34"/>
    <w:pPr>
      <w:ind w:firstLine="420" w:firstLineChars="200"/>
    </w:pPr>
    <w:rPr>
      <w:rFonts w:ascii="Calibri" w:hAnsi="Calibri"/>
      <w:szCs w:val="22"/>
    </w:rPr>
  </w:style>
  <w:style w:type="character" w:customStyle="1" w:styleId="23">
    <w:name w:val="纯文本 字符"/>
    <w:link w:val="4"/>
    <w:qFormat/>
    <w:uiPriority w:val="0"/>
    <w:rPr>
      <w:rFonts w:ascii="???" w:hAnsi="Courier New" w:eastAsia="???"/>
      <w:kern w:val="2"/>
    </w:rPr>
  </w:style>
  <w:style w:type="character" w:customStyle="1" w:styleId="24">
    <w:name w:val="页脚 字符"/>
    <w:link w:val="7"/>
    <w:qFormat/>
    <w:uiPriority w:val="99"/>
    <w:rPr>
      <w:kern w:val="2"/>
      <w:sz w:val="18"/>
      <w:szCs w:val="18"/>
    </w:rPr>
  </w:style>
  <w:style w:type="character" w:customStyle="1" w:styleId="25">
    <w:name w:val="批注文字 字符"/>
    <w:link w:val="2"/>
    <w:qFormat/>
    <w:uiPriority w:val="0"/>
    <w:rPr>
      <w:kern w:val="2"/>
      <w:sz w:val="21"/>
      <w:szCs w:val="24"/>
    </w:rPr>
  </w:style>
  <w:style w:type="character" w:customStyle="1" w:styleId="26">
    <w:name w:val="批注文字 Char1"/>
    <w:qFormat/>
    <w:uiPriority w:val="0"/>
    <w:rPr>
      <w:kern w:val="2"/>
      <w:sz w:val="21"/>
      <w:szCs w:val="24"/>
    </w:rPr>
  </w:style>
  <w:style w:type="paragraph" w:customStyle="1" w:styleId="27">
    <w:name w:val="正文文本缩进1"/>
    <w:basedOn w:val="1"/>
    <w:qFormat/>
    <w:uiPriority w:val="0"/>
    <w:pPr>
      <w:spacing w:line="360" w:lineRule="auto"/>
      <w:ind w:firstLine="570"/>
    </w:pPr>
    <w:rPr>
      <w:rFonts w:ascii="宋体"/>
      <w:sz w:val="28"/>
    </w:rPr>
  </w:style>
  <w:style w:type="character" w:customStyle="1" w:styleId="28">
    <w:name w:val="批注主题 字符"/>
    <w:basedOn w:val="25"/>
    <w:link w:val="11"/>
    <w:qFormat/>
    <w:uiPriority w:val="0"/>
    <w:rPr>
      <w:b/>
      <w:bCs/>
      <w:kern w:val="2"/>
      <w:sz w:val="21"/>
      <w:szCs w:val="24"/>
    </w:rPr>
  </w:style>
  <w:style w:type="character" w:customStyle="1" w:styleId="29">
    <w:name w:val="日期 字符"/>
    <w:basedOn w:val="14"/>
    <w:link w:val="5"/>
    <w:qFormat/>
    <w:uiPriority w:val="0"/>
    <w:rPr>
      <w:kern w:val="2"/>
      <w:sz w:val="21"/>
      <w:szCs w:val="24"/>
    </w:rPr>
  </w:style>
  <w:style w:type="paragraph" w:customStyle="1" w:styleId="30">
    <w:name w:val="Revision"/>
    <w:hidden/>
    <w:semiHidden/>
    <w:uiPriority w:val="99"/>
    <w:rPr>
      <w:rFonts w:ascii="Times New Roman" w:hAnsi="Times New Roman" w:eastAsia="宋体" w:cs="Times New Roman"/>
      <w:kern w:val="2"/>
      <w:sz w:val="21"/>
      <w:szCs w:val="24"/>
      <w:lang w:val="en-US" w:eastAsia="zh-CN" w:bidi="ar-SA"/>
    </w:rPr>
  </w:style>
  <w:style w:type="character" w:customStyle="1" w:styleId="31">
    <w:name w:val="apple-converted-space"/>
    <w:basedOn w:val="14"/>
    <w:uiPriority w:val="0"/>
  </w:style>
  <w:style w:type="paragraph" w:customStyle="1" w:styleId="32">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33">
    <w:name w:val="正文文本缩进 Char"/>
    <w:uiPriority w:val="0"/>
    <w:rPr>
      <w:rFonts w:ascii="宋体"/>
      <w:kern w:val="2"/>
      <w:sz w:val="28"/>
    </w:rPr>
  </w:style>
  <w:style w:type="character" w:customStyle="1" w:styleId="34">
    <w:name w:val="正文文本缩进 字符1"/>
    <w:qFormat/>
    <w:uiPriority w:val="0"/>
    <w:rPr>
      <w:rFonts w:ascii="宋体"/>
      <w:kern w:val="2"/>
      <w:sz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DC1CB-9DC3-4C3F-BE5F-AD67D4622323}">
  <ds:schemaRefs/>
</ds:datastoreItem>
</file>

<file path=docProps/app.xml><?xml version="1.0" encoding="utf-8"?>
<Properties xmlns="http://schemas.openxmlformats.org/officeDocument/2006/extended-properties" xmlns:vt="http://schemas.openxmlformats.org/officeDocument/2006/docPropsVTypes">
  <Template>Normal</Template>
  <Company>www.ftpdown.com</Company>
  <Pages>27</Pages>
  <Words>3156</Words>
  <Characters>17992</Characters>
  <Lines>149</Lines>
  <Paragraphs>42</Paragraphs>
  <TotalTime>1895</TotalTime>
  <ScaleCrop>false</ScaleCrop>
  <LinksUpToDate>false</LinksUpToDate>
  <CharactersWithSpaces>21106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2018-11-09T05:26:00Z</dcterms:created>
  <dc:creator>FtpDown</dc:creator>
  <cp:lastModifiedBy>qianbing</cp:lastModifiedBy>
  <cp:lastPrinted>2020-03-16T00:46:00Z</cp:lastPrinted>
  <dcterms:modified xsi:type="dcterms:W3CDTF">2026-02-09T01:22:36Z</dcterms:modified>
  <dc:title>金龙联合汽车工业（苏州）有限公司</dc:title>
  <cp:revision>325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97217E1139C84FE2890204B16255890F_12</vt:lpwstr>
  </property>
</Properties>
</file>