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1C672">
      <w:pPr>
        <w:spacing w:before="135" w:beforeLines="50" w:after="135" w:afterLines="50"/>
        <w:jc w:val="center"/>
        <w:rPr>
          <w:rFonts w:ascii="Times New Roman" w:hAnsi="Times New Roman" w:eastAsia="宋体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kern w:val="0"/>
          <w:sz w:val="32"/>
          <w:szCs w:val="32"/>
          <w:lang w:val="en-US" w:eastAsia="zh-CN"/>
        </w:rPr>
        <w:t>金龙汽车集团协同（SIC六合一控制器）</w:t>
      </w:r>
      <w:r>
        <w:rPr>
          <w:rFonts w:hint="eastAsia" w:ascii="Times New Roman" w:hAnsi="Times New Roman" w:eastAsia="宋体" w:cs="Times New Roman"/>
          <w:b/>
          <w:kern w:val="0"/>
          <w:sz w:val="32"/>
          <w:szCs w:val="32"/>
        </w:rPr>
        <w:t>招标公告</w:t>
      </w:r>
    </w:p>
    <w:p w14:paraId="0513AFBC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按照</w:t>
      </w:r>
      <w:r>
        <w:rPr>
          <w:rFonts w:hint="eastAsia"/>
          <w:sz w:val="24"/>
          <w:lang w:val="en-US" w:eastAsia="zh-CN"/>
        </w:rPr>
        <w:t>集团</w:t>
      </w:r>
      <w:r>
        <w:rPr>
          <w:rFonts w:hint="eastAsia"/>
          <w:sz w:val="24"/>
        </w:rPr>
        <w:t>相关要求，计划对</w:t>
      </w:r>
      <w:r>
        <w:rPr>
          <w:rFonts w:hint="eastAsia"/>
          <w:sz w:val="24"/>
          <w:lang w:val="en-US" w:eastAsia="zh-CN"/>
        </w:rPr>
        <w:t>厦门金龙联合汽车工业有限公司、厦门金龙旅行车有限公司、金龙联合汽车工业（苏州）有限公司的SIC</w:t>
      </w:r>
      <w:r>
        <w:rPr>
          <w:rFonts w:hint="eastAsia" w:ascii="宋体" w:hAnsi="宋体"/>
          <w:sz w:val="24"/>
          <w:lang w:val="en-US" w:eastAsia="zh-CN"/>
        </w:rPr>
        <w:t>六合一控制器</w:t>
      </w:r>
      <w:r>
        <w:rPr>
          <w:rFonts w:hint="eastAsia"/>
          <w:sz w:val="24"/>
        </w:rPr>
        <w:t>项目进行</w:t>
      </w:r>
      <w:r>
        <w:rPr>
          <w:rFonts w:hint="eastAsia"/>
          <w:sz w:val="24"/>
          <w:lang w:val="en-US" w:eastAsia="zh-CN"/>
        </w:rPr>
        <w:t>公开</w:t>
      </w:r>
      <w:r>
        <w:rPr>
          <w:rFonts w:hint="eastAsia"/>
          <w:sz w:val="24"/>
        </w:rPr>
        <w:t xml:space="preserve">招标。 </w:t>
      </w:r>
    </w:p>
    <w:p w14:paraId="136119E4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具体招标信息如下：</w:t>
      </w:r>
    </w:p>
    <w:p w14:paraId="5B4E66FC">
      <w:pPr>
        <w:pStyle w:val="19"/>
        <w:numPr>
          <w:ilvl w:val="0"/>
          <w:numId w:val="0"/>
        </w:numPr>
        <w:ind w:leftChars="0"/>
        <w:rPr>
          <w:rFonts w:asciiTheme="minorEastAsia" w:hAnsiTheme="minorEastAsia"/>
          <w:b/>
          <w:sz w:val="24"/>
        </w:rPr>
      </w:pPr>
      <w:r>
        <w:rPr>
          <w:rFonts w:hint="eastAsia" w:asciiTheme="minorEastAsia" w:hAnsiTheme="minorEastAsia"/>
          <w:b/>
          <w:sz w:val="24"/>
          <w:lang w:val="en-US" w:eastAsia="zh-CN"/>
        </w:rPr>
        <w:t>一、</w:t>
      </w:r>
      <w:r>
        <w:rPr>
          <w:rFonts w:hint="eastAsia" w:asciiTheme="minorEastAsia" w:hAnsiTheme="minorEastAsia"/>
          <w:b/>
          <w:sz w:val="24"/>
        </w:rPr>
        <w:t>项目概况：</w:t>
      </w:r>
    </w:p>
    <w:p w14:paraId="74E84ABB">
      <w:pPr>
        <w:pStyle w:val="19"/>
        <w:numPr>
          <w:ilvl w:val="0"/>
          <w:numId w:val="1"/>
        </w:numPr>
        <w:ind w:left="425" w:leftChars="0" w:hanging="425" w:firstLineChars="0"/>
        <w:jc w:val="left"/>
        <w:rPr>
          <w:rFonts w:asciiTheme="minorEastAsia" w:hAnsiTheme="minorEastAsia"/>
          <w:sz w:val="24"/>
          <w:szCs w:val="24"/>
          <w:u w:val="single"/>
        </w:rPr>
      </w:pPr>
      <w:r>
        <w:rPr>
          <w:rFonts w:hint="eastAsia" w:asciiTheme="minorEastAsia" w:hAnsiTheme="minorEastAsia"/>
          <w:sz w:val="24"/>
          <w:szCs w:val="24"/>
        </w:rPr>
        <w:t>招标项目名称：</w:t>
      </w:r>
      <w:r>
        <w:rPr>
          <w:rFonts w:hint="eastAsia" w:ascii="宋体" w:hAnsi="宋体"/>
          <w:sz w:val="24"/>
          <w:lang w:val="en-US" w:eastAsia="zh-CN"/>
        </w:rPr>
        <w:t>金龙汽车集团协同(SIC六合一控制器)</w:t>
      </w:r>
      <w:r>
        <w:rPr>
          <w:rFonts w:hint="eastAsia" w:ascii="宋体" w:hAnsi="宋体"/>
          <w:sz w:val="24"/>
        </w:rPr>
        <w:t>招</w:t>
      </w:r>
      <w:r>
        <w:rPr>
          <w:rFonts w:hint="eastAsia" w:ascii="宋体" w:hAnsi="宋体"/>
          <w:sz w:val="24"/>
          <w:lang w:val="en-US" w:eastAsia="zh-CN"/>
        </w:rPr>
        <w:t>标</w:t>
      </w:r>
      <w:r>
        <w:rPr>
          <w:rFonts w:hint="eastAsia" w:ascii="宋体" w:hAnsi="宋体"/>
          <w:sz w:val="24"/>
        </w:rPr>
        <w:t>项目</w:t>
      </w:r>
    </w:p>
    <w:p w14:paraId="0FB7A81F">
      <w:pPr>
        <w:pStyle w:val="19"/>
        <w:numPr>
          <w:ilvl w:val="0"/>
          <w:numId w:val="1"/>
        </w:numPr>
        <w:ind w:left="425" w:leftChars="0" w:hanging="425" w:firstLineChars="0"/>
        <w:rPr>
          <w:rFonts w:asciiTheme="minorEastAsia" w:hAnsiTheme="minorEastAsia"/>
          <w:sz w:val="24"/>
          <w:szCs w:val="24"/>
          <w:u w:val="single"/>
        </w:rPr>
      </w:pPr>
      <w:r>
        <w:rPr>
          <w:rFonts w:hint="eastAsia" w:asciiTheme="minorEastAsia" w:hAnsiTheme="minorEastAsia"/>
          <w:sz w:val="24"/>
          <w:szCs w:val="24"/>
        </w:rPr>
        <w:t>招标项目内容：</w:t>
      </w:r>
      <w:r>
        <w:rPr>
          <w:rFonts w:hint="eastAsia" w:ascii="宋体" w:hAnsi="宋体"/>
          <w:sz w:val="24"/>
        </w:rPr>
        <w:t>根据技术资料要求，提供相应合格产品</w:t>
      </w:r>
    </w:p>
    <w:p w14:paraId="276F9A59">
      <w:pPr>
        <w:pStyle w:val="19"/>
        <w:numPr>
          <w:ilvl w:val="0"/>
          <w:numId w:val="1"/>
        </w:numPr>
        <w:ind w:left="425" w:leftChars="0" w:hanging="425" w:firstLineChars="0"/>
        <w:rPr>
          <w:rFonts w:asciiTheme="minorEastAsia" w:hAnsiTheme="minorEastAsia"/>
          <w:sz w:val="24"/>
          <w:szCs w:val="24"/>
          <w:u w:val="single"/>
        </w:rPr>
      </w:pPr>
      <w:r>
        <w:rPr>
          <w:rFonts w:hint="eastAsia" w:asciiTheme="minorEastAsia" w:hAnsiTheme="minorEastAsia"/>
          <w:sz w:val="24"/>
          <w:szCs w:val="24"/>
        </w:rPr>
        <w:t>招标项目地点：</w:t>
      </w:r>
      <w:r>
        <w:rPr>
          <w:rFonts w:hint="eastAsia" w:ascii="宋体" w:hAnsi="宋体"/>
          <w:sz w:val="24"/>
        </w:rPr>
        <w:t>苏州工业园区苏虹东路288号</w:t>
      </w:r>
    </w:p>
    <w:p w14:paraId="55FB3B6A">
      <w:pPr>
        <w:pStyle w:val="19"/>
        <w:numPr>
          <w:ilvl w:val="0"/>
          <w:numId w:val="0"/>
        </w:numPr>
        <w:ind w:leftChars="0"/>
        <w:rPr>
          <w:rFonts w:asciiTheme="minorEastAsia" w:hAnsiTheme="minorEastAsia"/>
          <w:sz w:val="24"/>
          <w:u w:val="single"/>
        </w:rPr>
      </w:pPr>
      <w:r>
        <w:rPr>
          <w:rFonts w:hint="eastAsia" w:asciiTheme="minorEastAsia" w:hAnsiTheme="minorEastAsia"/>
          <w:b/>
          <w:sz w:val="24"/>
          <w:lang w:val="en-US" w:eastAsia="zh-CN"/>
        </w:rPr>
        <w:t>二、</w:t>
      </w:r>
      <w:r>
        <w:rPr>
          <w:rFonts w:hint="eastAsia" w:asciiTheme="minorEastAsia" w:hAnsiTheme="minorEastAsia"/>
          <w:b/>
          <w:sz w:val="24"/>
        </w:rPr>
        <w:t>投标人应具备的条件</w:t>
      </w:r>
    </w:p>
    <w:p w14:paraId="34DD0909">
      <w:pPr>
        <w:pStyle w:val="19"/>
        <w:numPr>
          <w:ilvl w:val="0"/>
          <w:numId w:val="2"/>
        </w:numPr>
        <w:ind w:left="425" w:leftChars="0" w:hanging="425" w:firstLineChars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注册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资金≥</w:t>
      </w:r>
      <w:r>
        <w:rPr>
          <w:rFonts w:hint="eastAsia" w:asciiTheme="minorEastAsia" w:hAnsiTheme="minorEastAsia" w:cstheme="minorEastAsia"/>
          <w:color w:val="auto"/>
          <w:sz w:val="24"/>
          <w:szCs w:val="24"/>
          <w:highlight w:val="none"/>
          <w:lang w:val="en-US" w:eastAsia="zh-CN"/>
        </w:rPr>
        <w:t>500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万元，提供营业执照扫描件；</w:t>
      </w:r>
    </w:p>
    <w:p w14:paraId="520B775B">
      <w:pPr>
        <w:pStyle w:val="19"/>
        <w:numPr>
          <w:ilvl w:val="0"/>
          <w:numId w:val="2"/>
        </w:numPr>
        <w:ind w:left="425" w:leftChars="0" w:hanging="425" w:firstLineChars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不允许代理商企业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参加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；</w:t>
      </w:r>
    </w:p>
    <w:p w14:paraId="1F6DAF59">
      <w:pPr>
        <w:pStyle w:val="19"/>
        <w:numPr>
          <w:ilvl w:val="0"/>
          <w:numId w:val="2"/>
        </w:numPr>
        <w:ind w:left="425" w:leftChars="0" w:hanging="425" w:firstLineChars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提供公司简介资料（PDF版本）</w:t>
      </w:r>
    </w:p>
    <w:p w14:paraId="11CF8599">
      <w:pPr>
        <w:pStyle w:val="19"/>
        <w:numPr>
          <w:ilvl w:val="0"/>
          <w:numId w:val="2"/>
        </w:numPr>
        <w:ind w:left="425" w:leftChars="0" w:hanging="425" w:firstLineChars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如需答疑，请在应标前提出，可提供视频或邮件答疑</w:t>
      </w:r>
      <w:r>
        <w:rPr>
          <w:rFonts w:hint="eastAsia" w:ascii="宋体" w:hAnsi="宋体"/>
          <w:sz w:val="24"/>
          <w:szCs w:val="24"/>
          <w:lang w:eastAsia="zh-CN"/>
        </w:rPr>
        <w:t>；</w:t>
      </w:r>
    </w:p>
    <w:p w14:paraId="67D5C03D">
      <w:pPr>
        <w:pStyle w:val="19"/>
        <w:numPr>
          <w:ilvl w:val="0"/>
          <w:numId w:val="2"/>
        </w:numPr>
        <w:adjustRightInd w:val="0"/>
        <w:snapToGrid w:val="0"/>
        <w:spacing w:line="360" w:lineRule="auto"/>
        <w:ind w:left="425" w:leftChars="0" w:hanging="425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参加招标前三年内，在经营活动中没有重大违法记录，提供承诺函；</w:t>
      </w:r>
    </w:p>
    <w:p w14:paraId="1058ECEB">
      <w:pPr>
        <w:pStyle w:val="19"/>
        <w:numPr>
          <w:ilvl w:val="0"/>
          <w:numId w:val="2"/>
        </w:numPr>
        <w:adjustRightInd w:val="0"/>
        <w:snapToGrid w:val="0"/>
        <w:spacing w:line="360" w:lineRule="auto"/>
        <w:ind w:left="425" w:leftChars="0" w:hanging="425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具有独立法人资格并独立承担民事责任的能力，提供企业资质证明及法人信息。</w:t>
      </w:r>
    </w:p>
    <w:p w14:paraId="236B6E10">
      <w:pPr>
        <w:pStyle w:val="19"/>
        <w:numPr>
          <w:ilvl w:val="0"/>
          <w:numId w:val="2"/>
        </w:numPr>
        <w:adjustRightInd w:val="0"/>
        <w:snapToGrid w:val="0"/>
        <w:spacing w:line="360" w:lineRule="auto"/>
        <w:ind w:left="425" w:leftChars="0" w:hanging="425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投标供应商为客车控制器头部企业，提供在三龙二通批量供货证明。</w:t>
      </w:r>
    </w:p>
    <w:p w14:paraId="497F48D7">
      <w:pPr>
        <w:pStyle w:val="19"/>
        <w:numPr>
          <w:ilvl w:val="0"/>
          <w:numId w:val="2"/>
        </w:numPr>
        <w:adjustRightInd w:val="0"/>
        <w:snapToGrid w:val="0"/>
        <w:spacing w:line="360" w:lineRule="auto"/>
        <w:ind w:left="425" w:leftChars="0" w:hanging="425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行业竞争企业控股参股的控制器公司不具备投标资格。</w:t>
      </w:r>
    </w:p>
    <w:p w14:paraId="3DE83A97">
      <w:pPr>
        <w:pStyle w:val="19"/>
        <w:numPr>
          <w:ilvl w:val="0"/>
          <w:numId w:val="2"/>
        </w:numPr>
        <w:adjustRightInd w:val="0"/>
        <w:snapToGrid w:val="0"/>
        <w:spacing w:line="360" w:lineRule="auto"/>
        <w:ind w:left="425" w:leftChars="0" w:hanging="425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体系内标配控制器厂家投标，需按照现有供货产品应标。</w:t>
      </w:r>
    </w:p>
    <w:p w14:paraId="5A575257">
      <w:pPr>
        <w:pStyle w:val="19"/>
        <w:numPr>
          <w:ilvl w:val="0"/>
          <w:numId w:val="2"/>
        </w:numPr>
        <w:adjustRightInd w:val="0"/>
        <w:snapToGrid w:val="0"/>
        <w:spacing w:line="360" w:lineRule="auto"/>
        <w:ind w:left="425" w:leftChars="0" w:hanging="425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如中标供应商技术路线无法适配产品要求，主机厂可申请原技术路线保留。投标供应商需确认技术路线是否匹配。</w:t>
      </w:r>
    </w:p>
    <w:p w14:paraId="52438F8C">
      <w:pPr>
        <w:pStyle w:val="19"/>
        <w:numPr>
          <w:ilvl w:val="0"/>
          <w:numId w:val="0"/>
        </w:numPr>
        <w:ind w:leftChars="0"/>
        <w:rPr>
          <w:rFonts w:hint="eastAsia" w:asciiTheme="minorEastAsia" w:hAnsiTheme="minorEastAsia"/>
          <w:b/>
          <w:sz w:val="24"/>
          <w:lang w:val="en-US" w:eastAsia="zh-CN"/>
        </w:rPr>
      </w:pPr>
      <w:r>
        <w:rPr>
          <w:rFonts w:hint="eastAsia" w:asciiTheme="minorEastAsia" w:hAnsiTheme="minorEastAsia"/>
          <w:b/>
          <w:sz w:val="24"/>
          <w:lang w:val="en-US" w:eastAsia="zh-CN"/>
        </w:rPr>
        <w:t>三、性能检测</w:t>
      </w:r>
      <w:r>
        <w:rPr>
          <w:rFonts w:hint="default" w:asciiTheme="minorEastAsia" w:hAnsiTheme="minorEastAsia"/>
          <w:b/>
          <w:sz w:val="24"/>
          <w:lang w:val="en-US" w:eastAsia="zh-CN"/>
        </w:rPr>
        <w:t>要求</w:t>
      </w:r>
      <w:r>
        <w:rPr>
          <w:rFonts w:hint="eastAsia" w:asciiTheme="minorEastAsia" w:hAnsiTheme="minorEastAsia"/>
          <w:b/>
          <w:sz w:val="24"/>
          <w:lang w:val="en-US" w:eastAsia="zh-CN"/>
        </w:rPr>
        <w:t>：</w:t>
      </w:r>
    </w:p>
    <w:p w14:paraId="4030D9F5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cs="宋体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 w:eastAsiaTheme="minorEastAsia"/>
          <w:kern w:val="2"/>
          <w:sz w:val="24"/>
          <w:szCs w:val="24"/>
          <w:lang w:val="en-US" w:eastAsia="zh-CN" w:bidi="ar-SA"/>
        </w:rPr>
        <w:t>配置：电机控制器为SIC功率模块;满足电池单/双支路输入，两路充电；具备转向泵DCAC控制器，打气泵DCAC控制器；配电具备空调、车厢加热、除霜、电池加热、独立水冷机组同时兼容支路电池输入</w:t>
      </w:r>
    </w:p>
    <w:p w14:paraId="6844114B">
      <w:pPr>
        <w:pStyle w:val="3"/>
        <w:keepNext w:val="0"/>
        <w:keepLines w:val="0"/>
        <w:widowControl/>
        <w:suppressLineNumbers w:val="0"/>
        <w:shd w:val="clear" w:fill="FFFFFF"/>
        <w:spacing w:before="160" w:beforeAutospacing="0" w:after="80" w:afterAutospacing="0" w:line="370" w:lineRule="atLeast"/>
        <w:ind w:left="0" w:firstLine="0"/>
        <w:jc w:val="left"/>
        <w:rPr>
          <w:rFonts w:hint="eastAsia" w:ascii="宋体" w:hAnsi="宋体" w:eastAsiaTheme="minorEastAsia" w:cstheme="minorBidi"/>
          <w:b w:val="0"/>
          <w:bCs w:val="0"/>
          <w:kern w:val="2"/>
          <w:sz w:val="24"/>
          <w:szCs w:val="20"/>
          <w:lang w:val="en-US" w:eastAsia="zh-CN" w:bidi="ar-SA"/>
        </w:rPr>
      </w:pPr>
      <w:r>
        <w:rPr>
          <w:rFonts w:hint="eastAsia" w:ascii="宋体" w:hAnsi="宋体" w:eastAsiaTheme="minorEastAsia" w:cstheme="minorBidi"/>
          <w:b w:val="0"/>
          <w:bCs w:val="0"/>
          <w:kern w:val="2"/>
          <w:sz w:val="24"/>
          <w:szCs w:val="20"/>
          <w:lang w:val="en-US" w:eastAsia="zh-CN" w:bidi="ar-SA"/>
        </w:rPr>
        <w:t>技术</w:t>
      </w:r>
      <w:r>
        <w:rPr>
          <w:rFonts w:hint="eastAsia" w:eastAsiaTheme="minorEastAsia" w:cstheme="minorBidi"/>
          <w:b w:val="0"/>
          <w:bCs w:val="0"/>
          <w:kern w:val="2"/>
          <w:sz w:val="24"/>
          <w:szCs w:val="20"/>
          <w:lang w:val="en-US" w:eastAsia="zh-CN" w:bidi="ar-SA"/>
        </w:rPr>
        <w:t>品质</w:t>
      </w:r>
      <w:r>
        <w:rPr>
          <w:rFonts w:hint="eastAsia" w:ascii="宋体" w:hAnsi="宋体" w:eastAsiaTheme="minorEastAsia" w:cstheme="minorBidi"/>
          <w:b w:val="0"/>
          <w:bCs w:val="0"/>
          <w:kern w:val="2"/>
          <w:sz w:val="24"/>
          <w:szCs w:val="20"/>
          <w:lang w:val="en-US" w:eastAsia="zh-CN" w:bidi="ar-SA"/>
        </w:rPr>
        <w:t>要求：具备绝缘检测功能、预充电功能；满足网络安全要求；满足国家标准、三龙企业标准等相关标准</w:t>
      </w:r>
      <w:r>
        <w:rPr>
          <w:rFonts w:hint="eastAsia" w:eastAsiaTheme="minorEastAsia" w:cstheme="minorBidi"/>
          <w:b w:val="0"/>
          <w:bCs w:val="0"/>
          <w:kern w:val="2"/>
          <w:sz w:val="24"/>
          <w:szCs w:val="20"/>
          <w:lang w:val="en-US" w:eastAsia="zh-CN" w:bidi="ar-SA"/>
        </w:rPr>
        <w:t>，满足EMC要求等</w:t>
      </w:r>
      <w:r>
        <w:rPr>
          <w:rFonts w:hint="eastAsia" w:ascii="宋体" w:hAnsi="宋体" w:eastAsiaTheme="minorEastAsia" w:cstheme="minorBidi"/>
          <w:b w:val="0"/>
          <w:bCs w:val="0"/>
          <w:kern w:val="2"/>
          <w:sz w:val="24"/>
          <w:szCs w:val="20"/>
          <w:lang w:val="en-US" w:eastAsia="zh-CN" w:bidi="ar-SA"/>
        </w:rPr>
        <w:t>。</w:t>
      </w:r>
    </w:p>
    <w:p w14:paraId="44FFB75F">
      <w:pPr>
        <w:rPr>
          <w:rFonts w:hint="default" w:ascii="宋体" w:hAnsi="宋体" w:eastAsiaTheme="minorEastAsia" w:cstheme="minorBidi"/>
          <w:b w:val="0"/>
          <w:bCs w:val="0"/>
          <w:kern w:val="2"/>
          <w:sz w:val="24"/>
          <w:szCs w:val="20"/>
          <w:lang w:val="en-US" w:eastAsia="zh-CN" w:bidi="ar-SA"/>
        </w:rPr>
      </w:pPr>
      <w:r>
        <w:rPr>
          <w:rFonts w:hint="eastAsia" w:ascii="宋体" w:hAnsi="宋体" w:cstheme="minorBidi"/>
          <w:b w:val="0"/>
          <w:bCs w:val="0"/>
          <w:kern w:val="2"/>
          <w:sz w:val="24"/>
          <w:szCs w:val="20"/>
          <w:lang w:val="en-US" w:eastAsia="zh-CN" w:bidi="ar-SA"/>
        </w:rPr>
        <w:t>（</w:t>
      </w:r>
      <w:r>
        <w:rPr>
          <w:rFonts w:hint="eastAsia" w:ascii="宋体" w:hAnsi="宋体" w:eastAsiaTheme="minorEastAsia" w:cstheme="minorBidi"/>
          <w:b w:val="0"/>
          <w:bCs w:val="0"/>
          <w:kern w:val="2"/>
          <w:sz w:val="24"/>
          <w:szCs w:val="20"/>
          <w:lang w:val="en-US" w:eastAsia="zh-CN" w:bidi="ar-SA"/>
        </w:rPr>
        <w:t>具体标准、配置明细要求等见</w:t>
      </w:r>
      <w:r>
        <w:rPr>
          <w:rFonts w:hint="eastAsia" w:ascii="宋体" w:hAnsi="宋体" w:cstheme="minorBidi"/>
          <w:b w:val="0"/>
          <w:bCs w:val="0"/>
          <w:kern w:val="2"/>
          <w:sz w:val="24"/>
          <w:szCs w:val="20"/>
          <w:lang w:val="en-US" w:eastAsia="zh-CN" w:bidi="ar-SA"/>
        </w:rPr>
        <w:t>标书）</w:t>
      </w:r>
    </w:p>
    <w:p w14:paraId="4B2A46D9">
      <w:pPr>
        <w:pStyle w:val="3"/>
        <w:keepNext w:val="0"/>
        <w:keepLines w:val="0"/>
        <w:widowControl/>
        <w:suppressLineNumbers w:val="0"/>
        <w:shd w:val="clear" w:fill="FFFFFF"/>
        <w:spacing w:before="160" w:beforeAutospacing="0" w:after="80" w:afterAutospacing="0" w:line="370" w:lineRule="atLeast"/>
        <w:ind w:left="0" w:firstLine="0"/>
        <w:jc w:val="left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4"/>
          <w:szCs w:val="24"/>
          <w:lang w:val="en-US" w:eastAsia="zh-CN" w:bidi="ar-SA"/>
        </w:rPr>
        <w:t>四、意向征集资格预审文件的获取方式</w:t>
      </w:r>
    </w:p>
    <w:p w14:paraId="20F4062E">
      <w:pPr>
        <w:pStyle w:val="3"/>
        <w:keepNext w:val="0"/>
        <w:keepLines w:val="0"/>
        <w:widowControl/>
        <w:suppressLineNumbers w:val="0"/>
        <w:shd w:val="clear" w:fill="FFFFFF"/>
        <w:spacing w:before="160" w:beforeAutospacing="0" w:after="80" w:afterAutospacing="0" w:line="370" w:lineRule="atLeast"/>
        <w:ind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资格预审文件的获取方式登录“金龙汽车集团采购数字化平台”（网址：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"https://ygcg.xmklm.com.cn" \t "_blank"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16"/>
          <w:rFonts w:ascii="宋体" w:hAnsi="宋体" w:eastAsia="宋体" w:cs="宋体"/>
          <w:sz w:val="24"/>
          <w:szCs w:val="24"/>
        </w:rPr>
        <w:t>https://ygcg.xmklm.com.cn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）进行实名注册、登录报名并免费下载资格预审文件。</w:t>
      </w:r>
    </w:p>
    <w:p w14:paraId="7A1CE875">
      <w:pPr>
        <w:pStyle w:val="3"/>
        <w:keepNext w:val="0"/>
        <w:keepLines w:val="0"/>
        <w:widowControl/>
        <w:suppressLineNumbers w:val="0"/>
        <w:shd w:val="clear" w:fill="FFFFFF"/>
        <w:spacing w:before="160" w:beforeAutospacing="0" w:after="80" w:afterAutospacing="0" w:line="370" w:lineRule="atLeast"/>
        <w:ind w:left="0" w:firstLine="0"/>
        <w:jc w:val="left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lang w:val="en-US" w:eastAsia="zh-CN"/>
        </w:rPr>
        <w:t>五、</w:t>
      </w: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</w:rPr>
        <w:t>资格预审申请文件的提交</w:t>
      </w:r>
    </w:p>
    <w:p w14:paraId="31E9CE80">
      <w:pPr>
        <w:pStyle w:val="10"/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spacing w:before="0" w:beforeAutospacing="0" w:after="50" w:afterAutospacing="0" w:line="280" w:lineRule="atLeast"/>
        <w:ind w:left="425" w:leftChars="0" w:hanging="425" w:firstLineChars="0"/>
        <w:jc w:val="both"/>
        <w:rPr>
          <w:rFonts w:hint="default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截止时间：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kern w:val="2"/>
          <w:sz w:val="24"/>
          <w:szCs w:val="24"/>
          <w:lang w:val="en-US" w:eastAsia="zh-CN" w:bidi="ar-SA"/>
        </w:rPr>
        <w:t>202</w:t>
      </w:r>
      <w:r>
        <w:rPr>
          <w:rFonts w:hint="eastAsia" w:asciiTheme="minorEastAsia" w:hAnsiTheme="minorEastAsia" w:cstheme="minorEastAsia"/>
          <w:b/>
          <w:bCs/>
          <w:color w:val="0000FF"/>
          <w:kern w:val="2"/>
          <w:sz w:val="24"/>
          <w:szCs w:val="24"/>
          <w:lang w:val="en-US" w:eastAsia="zh-CN" w:bidi="ar-SA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kern w:val="2"/>
          <w:sz w:val="24"/>
          <w:szCs w:val="24"/>
          <w:lang w:val="en-US" w:eastAsia="zh-CN" w:bidi="ar-SA"/>
        </w:rPr>
        <w:t>年</w:t>
      </w:r>
      <w:r>
        <w:rPr>
          <w:rFonts w:hint="eastAsia" w:asciiTheme="minorEastAsia" w:hAnsiTheme="minorEastAsia" w:cstheme="minorEastAsia"/>
          <w:b/>
          <w:bCs/>
          <w:color w:val="0000FF"/>
          <w:kern w:val="2"/>
          <w:sz w:val="24"/>
          <w:szCs w:val="24"/>
          <w:lang w:val="en-US" w:eastAsia="zh-CN" w:bidi="ar-SA"/>
        </w:rPr>
        <w:t>9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kern w:val="2"/>
          <w:sz w:val="24"/>
          <w:szCs w:val="24"/>
          <w:lang w:val="en-US" w:eastAsia="zh-CN" w:bidi="ar-SA"/>
        </w:rPr>
        <w:t>月</w:t>
      </w:r>
      <w:r>
        <w:rPr>
          <w:rFonts w:hint="eastAsia" w:asciiTheme="minorEastAsia" w:hAnsiTheme="minorEastAsia" w:cstheme="minorEastAsia"/>
          <w:b/>
          <w:bCs/>
          <w:color w:val="0000FF"/>
          <w:kern w:val="2"/>
          <w:sz w:val="24"/>
          <w:szCs w:val="24"/>
          <w:lang w:val="en-US" w:eastAsia="zh-CN" w:bidi="ar-SA"/>
        </w:rPr>
        <w:t>18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kern w:val="2"/>
          <w:sz w:val="24"/>
          <w:szCs w:val="24"/>
          <w:lang w:val="en-US" w:eastAsia="zh-CN" w:bidi="ar-SA"/>
        </w:rPr>
        <w:t>日</w:t>
      </w:r>
      <w:r>
        <w:rPr>
          <w:rFonts w:hint="eastAsia" w:asciiTheme="minorEastAsia" w:hAnsiTheme="minorEastAsia" w:cstheme="minorEastAsia"/>
          <w:b/>
          <w:bCs/>
          <w:color w:val="0000FF"/>
          <w:kern w:val="2"/>
          <w:sz w:val="24"/>
          <w:szCs w:val="24"/>
          <w:lang w:val="en-US" w:eastAsia="zh-CN" w:bidi="ar-SA"/>
        </w:rPr>
        <w:t>12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kern w:val="2"/>
          <w:sz w:val="24"/>
          <w:szCs w:val="24"/>
          <w:lang w:val="en-US" w:eastAsia="zh-CN" w:bidi="ar-SA"/>
        </w:rPr>
        <w:t>:00（北京时间）前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，逾期收到的或不符合规定的报名申请将被拒绝</w:t>
      </w:r>
      <w:r>
        <w:rPr>
          <w:rFonts w:hint="eastAsia" w:ascii="宋体" w:hAnsi="宋体" w:eastAsiaTheme="minorEastAsia" w:cstheme="minorBidi"/>
          <w:b w:val="0"/>
          <w:bCs/>
          <w:kern w:val="2"/>
          <w:sz w:val="24"/>
          <w:lang w:val="en-US" w:eastAsia="zh-CN" w:bidi="ar-SA"/>
        </w:rPr>
        <w:t>；</w:t>
      </w:r>
    </w:p>
    <w:p w14:paraId="62505479">
      <w:pPr>
        <w:pStyle w:val="10"/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spacing w:before="0" w:beforeAutospacing="0" w:after="50" w:afterAutospacing="0" w:line="280" w:lineRule="atLeast"/>
        <w:ind w:left="425" w:leftChars="0" w:hanging="425" w:firstLineChars="0"/>
        <w:jc w:val="both"/>
        <w:rPr>
          <w:rFonts w:hint="default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提交方式：</w:t>
      </w:r>
      <w:r>
        <w:rPr>
          <w:rFonts w:hint="eastAsia" w:asciiTheme="minorEastAsia" w:hAnsiTheme="minorEastAsia" w:eastAsiaTheme="minorEastAsia" w:cstheme="minorEastAsia"/>
          <w:b/>
          <w:bCs/>
          <w:color w:val="C00000"/>
          <w:kern w:val="2"/>
          <w:sz w:val="24"/>
          <w:szCs w:val="24"/>
          <w:lang w:val="en-US" w:eastAsia="zh-CN" w:bidi="ar-SA"/>
        </w:rPr>
        <w:t>登录“金龙汽车集团采购数字化平台”</w:t>
      </w:r>
      <w:r>
        <w:rPr>
          <w:rFonts w:hint="eastAsia" w:asciiTheme="minorEastAsia" w:hAnsiTheme="minorEastAsia" w:cstheme="minorEastAsia"/>
          <w:b/>
          <w:bCs/>
          <w:color w:val="C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b/>
          <w:bCs/>
          <w:color w:val="C00000"/>
          <w:kern w:val="2"/>
          <w:sz w:val="24"/>
          <w:szCs w:val="24"/>
          <w:lang w:val="en-US" w:eastAsia="zh-CN" w:bidi="ar-SA"/>
        </w:rPr>
        <w:t>“商机库”板块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在线提交电子版申请文件（需为加盖公章的PDF扫描件）。</w:t>
      </w:r>
    </w:p>
    <w:p w14:paraId="3A526E05">
      <w:pPr>
        <w:pStyle w:val="3"/>
        <w:keepNext w:val="0"/>
        <w:keepLines w:val="0"/>
        <w:widowControl/>
        <w:suppressLineNumbers w:val="0"/>
        <w:shd w:val="clear" w:fill="FFFFFF"/>
        <w:spacing w:before="160" w:beforeAutospacing="0" w:after="80" w:afterAutospacing="0" w:line="370" w:lineRule="atLeast"/>
        <w:ind w:left="0" w:firstLine="0"/>
        <w:jc w:val="left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lang w:val="en-US" w:eastAsia="zh-CN"/>
        </w:rPr>
        <w:t>六、资格预审方法</w:t>
      </w:r>
    </w:p>
    <w:p w14:paraId="64A9F609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hd w:val="clear" w:fill="FFFFFF"/>
        <w:spacing w:before="0" w:beforeAutospacing="0" w:after="50" w:afterAutospacing="0" w:line="280" w:lineRule="atLeast"/>
        <w:ind w:left="425" w:leftChars="0" w:hanging="425" w:firstLineChars="0"/>
        <w:jc w:val="both"/>
        <w:rPr>
          <w:rFonts w:hint="default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本项目资格预审采用合格制，凡符合本公告规定资格条件的申请人，均可通过资格预审并参与后续投标</w:t>
      </w:r>
      <w:r>
        <w:rPr>
          <w:rFonts w:hint="eastAsia" w:ascii="宋体" w:hAnsi="宋体" w:eastAsiaTheme="minorEastAsia" w:cstheme="minorBidi"/>
          <w:b w:val="0"/>
          <w:bCs/>
          <w:kern w:val="2"/>
          <w:sz w:val="24"/>
          <w:lang w:val="en-US" w:eastAsia="zh-CN" w:bidi="ar-SA"/>
        </w:rPr>
        <w:t>；</w:t>
      </w:r>
    </w:p>
    <w:p w14:paraId="76E38846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hd w:val="clear" w:fill="FFFFFF"/>
        <w:spacing w:before="0" w:beforeAutospacing="0" w:after="50" w:afterAutospacing="0" w:line="280" w:lineRule="atLeast"/>
        <w:ind w:left="425" w:leftChars="0" w:hanging="425" w:firstLineChars="0"/>
        <w:jc w:val="both"/>
        <w:rPr>
          <w:rFonts w:hint="default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资格预审工作由招标人依法组建的资格预审小组负责，严格按照本资格预审公告载明的条件、标准和要求进行审查</w:t>
      </w:r>
      <w:r>
        <w:rPr>
          <w:rFonts w:hint="eastAsia" w:ascii="宋体" w:hAnsi="宋体" w:eastAsiaTheme="minorEastAsia" w:cstheme="minorBidi"/>
          <w:b w:val="0"/>
          <w:bCs/>
          <w:kern w:val="2"/>
          <w:sz w:val="24"/>
          <w:lang w:val="en-US" w:eastAsia="zh-CN" w:bidi="ar-SA"/>
        </w:rPr>
        <w:t>；</w:t>
      </w:r>
    </w:p>
    <w:p w14:paraId="5EB83EEB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hd w:val="clear" w:fill="FFFFFF"/>
        <w:spacing w:before="0" w:beforeAutospacing="0" w:after="50" w:afterAutospacing="0" w:line="280" w:lineRule="atLeast"/>
        <w:ind w:left="425" w:leftChars="0" w:hanging="425" w:firstLineChars="0"/>
        <w:jc w:val="both"/>
        <w:rPr>
          <w:rFonts w:hint="default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资格预审小组对所有申请人的申请文件，均采用同一评审程序、统一评审标准</w:t>
      </w:r>
      <w:r>
        <w:rPr>
          <w:rFonts w:hint="eastAsia" w:ascii="宋体" w:hAnsi="宋体" w:eastAsiaTheme="minorEastAsia" w:cstheme="minorBidi"/>
          <w:b w:val="0"/>
          <w:bCs/>
          <w:kern w:val="2"/>
          <w:sz w:val="24"/>
          <w:lang w:val="en-US" w:eastAsia="zh-CN" w:bidi="ar-SA"/>
        </w:rPr>
        <w:t>；</w:t>
      </w:r>
    </w:p>
    <w:p w14:paraId="0599443D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hd w:val="clear" w:fill="FFFFFF"/>
        <w:spacing w:before="0" w:beforeAutospacing="0" w:after="50" w:afterAutospacing="0" w:line="280" w:lineRule="atLeast"/>
        <w:ind w:left="425" w:leftChars="0" w:hanging="425" w:firstLineChars="0"/>
        <w:jc w:val="both"/>
        <w:rPr>
          <w:rFonts w:hint="default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未满足本项目资格要求、或未实质性响应资格预审文件要求的申请文件，资格预审不予通过</w:t>
      </w:r>
      <w:r>
        <w:rPr>
          <w:rFonts w:hint="eastAsia" w:ascii="宋体" w:hAnsi="宋体" w:eastAsiaTheme="minorEastAsia" w:cstheme="minorBidi"/>
          <w:b w:val="0"/>
          <w:bCs/>
          <w:kern w:val="2"/>
          <w:sz w:val="24"/>
          <w:lang w:val="en-US" w:eastAsia="zh-CN" w:bidi="ar-SA"/>
        </w:rPr>
        <w:t>；</w:t>
      </w:r>
    </w:p>
    <w:p w14:paraId="3ECC47F9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hd w:val="clear" w:fill="FFFFFF"/>
        <w:spacing w:before="0" w:beforeAutospacing="0" w:after="50" w:afterAutospacing="0" w:line="280" w:lineRule="atLeast"/>
        <w:ind w:left="425" w:leftChars="0" w:hanging="425" w:firstLineChars="0"/>
        <w:jc w:val="both"/>
        <w:rPr>
          <w:rFonts w:hint="default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资格预审合格的申请人，均具备本项目投标资格</w:t>
      </w:r>
      <w:r>
        <w:rPr>
          <w:rFonts w:hint="eastAsia" w:ascii="宋体" w:hAnsi="宋体" w:eastAsiaTheme="minorEastAsia" w:cstheme="minorBidi"/>
          <w:b w:val="0"/>
          <w:bCs/>
          <w:kern w:val="2"/>
          <w:sz w:val="24"/>
          <w:lang w:val="en-US" w:eastAsia="zh-CN" w:bidi="ar-SA"/>
        </w:rPr>
        <w:t>；</w:t>
      </w:r>
    </w:p>
    <w:p w14:paraId="4F1B6BB3">
      <w:pPr>
        <w:pStyle w:val="10"/>
        <w:keepNext w:val="0"/>
        <w:keepLines w:val="0"/>
        <w:widowControl/>
        <w:numPr>
          <w:ilvl w:val="0"/>
          <w:numId w:val="4"/>
        </w:numPr>
        <w:suppressLineNumbers w:val="0"/>
        <w:shd w:val="clear" w:fill="FFFFFF"/>
        <w:spacing w:before="0" w:beforeAutospacing="0" w:after="50" w:afterAutospacing="0" w:line="280" w:lineRule="atLeast"/>
        <w:ind w:left="425" w:leftChars="0" w:hanging="425" w:firstLineChars="0"/>
        <w:jc w:val="both"/>
        <w:rPr>
          <w:rFonts w:hint="default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若递交资格预审申请文件的申请人不足3家，或通过资格预审的申请人不足3家的，本次资格预审失败，招标人可依法重新组织资格预审或招标。</w:t>
      </w:r>
    </w:p>
    <w:p w14:paraId="2052C272">
      <w:pPr>
        <w:pStyle w:val="3"/>
        <w:keepNext w:val="0"/>
        <w:keepLines w:val="0"/>
        <w:widowControl/>
        <w:suppressLineNumbers w:val="0"/>
        <w:shd w:val="clear" w:fill="FFFFFF"/>
        <w:spacing w:before="160" w:beforeAutospacing="0" w:after="80" w:afterAutospacing="0" w:line="370" w:lineRule="atLeast"/>
        <w:ind w:left="0" w:firstLine="0"/>
        <w:jc w:val="left"/>
        <w:rPr>
          <w:rFonts w:hint="default" w:asciiTheme="minorEastAsia" w:hAnsiTheme="minorEastAsia" w:eastAsiaTheme="minorEastAsia" w:cstheme="minorEastAsia"/>
          <w:b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lang w:val="en-US" w:eastAsia="zh-CN"/>
        </w:rPr>
        <w:t>六、 关于投标前置条件的特别提醒：</w:t>
      </w:r>
    </w:p>
    <w:p w14:paraId="72C3A674"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50" w:afterAutospacing="0" w:line="280" w:lineRule="atLeast"/>
        <w:ind w:firstLine="480" w:firstLineChars="200"/>
        <w:jc w:val="both"/>
        <w:rPr>
          <w:rFonts w:hint="default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为确保投标流程顺利进行，请各意向投标人务必注意以下事项：</w:t>
      </w:r>
    </w:p>
    <w:p w14:paraId="450A5A31">
      <w:pPr>
        <w:pStyle w:val="10"/>
        <w:keepNext w:val="0"/>
        <w:keepLines w:val="0"/>
        <w:widowControl/>
        <w:numPr>
          <w:ilvl w:val="0"/>
          <w:numId w:val="5"/>
        </w:numPr>
        <w:suppressLineNumbers w:val="0"/>
        <w:shd w:val="clear" w:fill="FFFFFF"/>
        <w:spacing w:before="0" w:beforeAutospacing="0" w:after="50" w:afterAutospacing="0" w:line="280" w:lineRule="atLeast"/>
        <w:ind w:left="425" w:leftChars="0" w:hanging="425" w:firstLineChars="0"/>
        <w:jc w:val="both"/>
        <w:rPr>
          <w:rFonts w:hint="default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平台注册：所有参与本项目投标的单位，需提前登录“金龙汽车集团采购数字化平台”（网址：</w:t>
      </w:r>
      <w:r>
        <w:rPr>
          <w:rFonts w:ascii="宋体" w:hAnsi="宋体" w:eastAsia="宋体" w:cs="宋体"/>
          <w:b/>
          <w:bCs/>
          <w:sz w:val="24"/>
          <w:szCs w:val="24"/>
        </w:rPr>
        <w:fldChar w:fldCharType="begin"/>
      </w:r>
      <w:r>
        <w:rPr>
          <w:rFonts w:ascii="宋体" w:hAnsi="宋体" w:eastAsia="宋体" w:cs="宋体"/>
          <w:b/>
          <w:bCs/>
          <w:sz w:val="24"/>
          <w:szCs w:val="24"/>
        </w:rPr>
        <w:instrText xml:space="preserve"> HYPERLINK "https://ygcg.xmklm.com.cn" \t "_blank" </w:instrText>
      </w:r>
      <w:r>
        <w:rPr>
          <w:rFonts w:ascii="宋体" w:hAnsi="宋体" w:eastAsia="宋体" w:cs="宋体"/>
          <w:b/>
          <w:bCs/>
          <w:sz w:val="24"/>
          <w:szCs w:val="24"/>
        </w:rPr>
        <w:fldChar w:fldCharType="separate"/>
      </w:r>
      <w:r>
        <w:rPr>
          <w:rStyle w:val="16"/>
          <w:rFonts w:ascii="宋体" w:hAnsi="宋体" w:eastAsia="宋体" w:cs="宋体"/>
          <w:b/>
          <w:bCs/>
          <w:sz w:val="24"/>
          <w:szCs w:val="24"/>
        </w:rPr>
        <w:t>https://ygcg.xmklm.com.cn</w:t>
      </w:r>
      <w:r>
        <w:rPr>
          <w:rFonts w:ascii="宋体" w:hAnsi="宋体" w:eastAsia="宋体" w:cs="宋体"/>
          <w:b/>
          <w:bCs/>
          <w:sz w:val="24"/>
          <w:szCs w:val="24"/>
        </w:rPr>
        <w:fldChar w:fldCharType="end"/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）完成供应商注册，确保账户状态正常；</w:t>
      </w:r>
    </w:p>
    <w:p w14:paraId="0230A391">
      <w:pPr>
        <w:pStyle w:val="10"/>
        <w:keepNext w:val="0"/>
        <w:keepLines w:val="0"/>
        <w:widowControl/>
        <w:numPr>
          <w:ilvl w:val="0"/>
          <w:numId w:val="5"/>
        </w:numPr>
        <w:suppressLineNumbers w:val="0"/>
        <w:shd w:val="clear" w:fill="FFFFFF"/>
        <w:spacing w:before="0" w:beforeAutospacing="0" w:after="50" w:afterAutospacing="0" w:line="280" w:lineRule="atLeast"/>
        <w:ind w:left="425" w:leftChars="0" w:hanging="425" w:firstLineChars="0"/>
        <w:jc w:val="both"/>
        <w:rPr>
          <w:rFonts w:hint="default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CA证书办理： 本项目采用电子化招投标，须使用数字安全证书（CA证书）进行投标文件加密、签章及解密。请投标人务必提前完成CA证书的申请及办理，并将其与平台注册账号成功绑定，以免影响后续投标工作。采用资格预审的项目，CA证书办理也可在资格预审通过之后办理；</w:t>
      </w:r>
    </w:p>
    <w:p w14:paraId="2AA0F0FE">
      <w:pPr>
        <w:pStyle w:val="10"/>
        <w:keepNext w:val="0"/>
        <w:keepLines w:val="0"/>
        <w:widowControl/>
        <w:numPr>
          <w:ilvl w:val="0"/>
          <w:numId w:val="5"/>
        </w:numPr>
        <w:suppressLineNumbers w:val="0"/>
        <w:shd w:val="clear" w:fill="FFFFFF"/>
        <w:spacing w:before="0" w:beforeAutospacing="0" w:after="50" w:afterAutospacing="0" w:line="280" w:lineRule="atLeast"/>
        <w:ind w:left="425" w:leftChars="0" w:hanging="425" w:firstLineChars="0"/>
        <w:jc w:val="both"/>
        <w:rPr>
          <w:rFonts w:hint="default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风险提示： 注册及CA办理均需一定的审核周期，请预留充足时间进行操作。因未及时办理CA证书或绑定失败而导致无法正常投标的，后果由投标人自行承担。</w:t>
      </w:r>
    </w:p>
    <w:p w14:paraId="501E9A1B">
      <w:pPr>
        <w:spacing w:before="0" w:after="0" w:line="360" w:lineRule="auto"/>
        <w:ind w:left="149" w:right="0" w:firstLine="360"/>
        <w:jc w:val="left"/>
        <w:rPr>
          <w:rFonts w:hint="eastAsia" w:asciiTheme="minorEastAsia" w:hAnsiTheme="minorEastAsia" w:eastAsiaTheme="minorEastAsia" w:cstheme="minorEastAsia"/>
          <w:color w:val="auto"/>
          <w:spacing w:val="0"/>
          <w:position w:val="0"/>
          <w:sz w:val="24"/>
          <w:szCs w:val="24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position w:val="0"/>
          <w:sz w:val="24"/>
          <w:szCs w:val="24"/>
          <w:shd w:val="clear" w:color="auto" w:fill="auto"/>
        </w:rPr>
        <w:t>联系人：</w:t>
      </w:r>
      <w:r>
        <w:rPr>
          <w:rFonts w:hint="eastAsia" w:asciiTheme="minorEastAsia" w:hAnsiTheme="minorEastAsia" w:cstheme="minorEastAsia"/>
          <w:color w:val="auto"/>
          <w:spacing w:val="0"/>
          <w:position w:val="0"/>
          <w:sz w:val="24"/>
          <w:szCs w:val="24"/>
          <w:shd w:val="clear" w:color="auto" w:fill="auto"/>
          <w:lang w:val="en-US" w:eastAsia="zh-CN"/>
        </w:rPr>
        <w:t>周会芹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position w:val="0"/>
          <w:sz w:val="24"/>
          <w:szCs w:val="24"/>
          <w:shd w:val="clear" w:color="auto" w:fill="auto"/>
        </w:rPr>
        <w:t xml:space="preserve">   </w:t>
      </w:r>
    </w:p>
    <w:p w14:paraId="3E8263D3">
      <w:pPr>
        <w:spacing w:before="0" w:after="0" w:line="360" w:lineRule="auto"/>
        <w:ind w:left="149" w:right="0" w:firstLine="360"/>
        <w:jc w:val="left"/>
        <w:rPr>
          <w:rFonts w:hint="eastAsia" w:asciiTheme="minorEastAsia" w:hAnsiTheme="minorEastAsia" w:eastAsiaTheme="minorEastAsia" w:cstheme="minorEastAsia"/>
          <w:color w:val="auto"/>
          <w:spacing w:val="0"/>
          <w:position w:val="0"/>
          <w:sz w:val="24"/>
          <w:szCs w:val="24"/>
          <w:shd w:val="clear" w:color="auto" w:fill="auto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0"/>
          <w:position w:val="0"/>
          <w:sz w:val="24"/>
          <w:szCs w:val="24"/>
          <w:shd w:val="clear" w:color="auto" w:fill="auto"/>
        </w:rPr>
        <w:t xml:space="preserve">联系电话：0512-69565325 </w:t>
      </w:r>
    </w:p>
    <w:p w14:paraId="52B4FC69">
      <w:pPr>
        <w:spacing w:before="0" w:after="0" w:line="360" w:lineRule="auto"/>
        <w:ind w:left="479" w:leftChars="228" w:right="0" w:firstLine="0" w:firstLineChars="0"/>
        <w:jc w:val="left"/>
        <w:rPr>
          <w:rFonts w:hint="default" w:asciiTheme="minorEastAsia" w:hAnsiTheme="minorEastAsia" w:eastAsiaTheme="minorEastAsia" w:cstheme="minorEastAsia"/>
          <w:color w:val="auto"/>
          <w:spacing w:val="0"/>
          <w:position w:val="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auto"/>
          <w:spacing w:val="0"/>
          <w:position w:val="0"/>
          <w:sz w:val="24"/>
          <w:szCs w:val="24"/>
          <w:shd w:val="clear" w:color="auto" w:fill="auto"/>
          <w:lang w:val="en-US" w:eastAsia="zh-CN"/>
        </w:rPr>
        <w:t>地址：</w:t>
      </w:r>
      <w:r>
        <w:rPr>
          <w:rFonts w:hint="eastAsia" w:asciiTheme="minorEastAsia" w:hAnsiTheme="minorEastAsia" w:cstheme="minorEastAsia"/>
          <w:color w:val="auto"/>
          <w:spacing w:val="0"/>
          <w:position w:val="0"/>
          <w:sz w:val="24"/>
          <w:szCs w:val="24"/>
          <w:shd w:val="clear" w:color="auto" w:fill="auto"/>
          <w:lang w:val="en-US" w:eastAsia="zh-CN"/>
        </w:rPr>
        <w:t>苏州工业园区苏虹东路288号， 金龙联合汽车工业（苏州）有限公司，风控与审计部 周会芹（收</w:t>
      </w:r>
      <w:r>
        <w:rPr>
          <w:rFonts w:ascii="等线" w:hAnsi="等线" w:eastAsia="等线" w:cs="等线"/>
          <w:color w:val="auto"/>
          <w:spacing w:val="0"/>
          <w:position w:val="0"/>
          <w:sz w:val="24"/>
          <w:shd w:val="clear" w:fill="auto"/>
        </w:rPr>
        <w:t xml:space="preserve"> </w:t>
      </w:r>
      <w:r>
        <w:rPr>
          <w:rFonts w:hint="eastAsia" w:ascii="等线" w:hAnsi="等线" w:eastAsia="等线" w:cs="等线"/>
          <w:color w:val="auto"/>
          <w:spacing w:val="0"/>
          <w:position w:val="0"/>
          <w:sz w:val="24"/>
          <w:shd w:val="clear" w:fill="auto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pacing w:val="0"/>
          <w:position w:val="0"/>
          <w:sz w:val="24"/>
          <w:szCs w:val="24"/>
          <w:shd w:val="clear" w:color="auto" w:fill="auto"/>
        </w:rPr>
        <w:t xml:space="preserve">联系电话：0512-69565325 </w:t>
      </w:r>
      <w:r>
        <w:rPr>
          <w:rFonts w:hint="eastAsia" w:asciiTheme="minorEastAsia" w:hAnsiTheme="minorEastAsia" w:cstheme="minorEastAsia"/>
          <w:color w:val="auto"/>
          <w:spacing w:val="0"/>
          <w:position w:val="0"/>
          <w:sz w:val="24"/>
          <w:szCs w:val="24"/>
          <w:shd w:val="clear" w:color="auto" w:fill="auto"/>
          <w:lang w:val="en-US" w:eastAsia="zh-CN"/>
        </w:rPr>
        <w:t>样品收到时间不得晚于2026年* 月* *日。</w:t>
      </w:r>
    </w:p>
    <w:p w14:paraId="4EE932E2">
      <w:pPr>
        <w:spacing w:before="0" w:after="0" w:line="360" w:lineRule="auto"/>
        <w:ind w:left="149" w:right="0" w:firstLine="360"/>
        <w:jc w:val="left"/>
        <w:rPr>
          <w:rFonts w:ascii="等线" w:hAnsi="等线" w:eastAsia="等线" w:cs="等线"/>
          <w:color w:val="auto"/>
          <w:spacing w:val="0"/>
          <w:position w:val="0"/>
          <w:sz w:val="24"/>
          <w:shd w:val="clear" w:fill="auto"/>
        </w:rPr>
      </w:pPr>
      <w:r>
        <w:rPr>
          <w:rFonts w:ascii="等线" w:hAnsi="等线" w:eastAsia="等线" w:cs="等线"/>
          <w:color w:val="auto"/>
          <w:spacing w:val="0"/>
          <w:position w:val="0"/>
          <w:sz w:val="24"/>
          <w:shd w:val="clear" w:fill="auto"/>
        </w:rPr>
        <w:t xml:space="preserve">          </w:t>
      </w:r>
    </w:p>
    <w:p w14:paraId="5B6CB7DC">
      <w:pPr>
        <w:spacing w:before="0" w:after="0" w:line="360" w:lineRule="auto"/>
        <w:ind w:left="0" w:right="0" w:firstLine="0"/>
        <w:jc w:val="right"/>
        <w:rPr>
          <w:rFonts w:ascii="等线" w:hAnsi="等线" w:eastAsia="等线" w:cs="等线"/>
          <w:color w:val="auto"/>
          <w:spacing w:val="0"/>
          <w:position w:val="0"/>
          <w:sz w:val="24"/>
          <w:shd w:val="clear" w:fill="auto"/>
        </w:rPr>
      </w:pPr>
      <w:r>
        <w:rPr>
          <w:rFonts w:ascii="等线" w:hAnsi="等线" w:eastAsia="等线" w:cs="等线"/>
          <w:color w:val="auto"/>
          <w:spacing w:val="0"/>
          <w:position w:val="0"/>
          <w:sz w:val="24"/>
          <w:shd w:val="clear" w:fill="auto"/>
        </w:rPr>
        <w:t xml:space="preserve">    金龙联合汽车工业（苏州）有限公司</w:t>
      </w:r>
    </w:p>
    <w:p w14:paraId="2C7BDEB4">
      <w:pPr>
        <w:spacing w:before="0" w:after="0" w:line="360" w:lineRule="auto"/>
        <w:ind w:left="0" w:right="720" w:firstLine="0"/>
        <w:jc w:val="right"/>
        <w:rPr>
          <w:sz w:val="24"/>
        </w:rPr>
      </w:pPr>
      <w:r>
        <w:rPr>
          <w:rFonts w:ascii="等线" w:hAnsi="等线" w:eastAsia="等线" w:cs="等线"/>
          <w:color w:val="auto"/>
          <w:spacing w:val="0"/>
          <w:position w:val="0"/>
          <w:sz w:val="24"/>
          <w:shd w:val="clear" w:fill="auto"/>
        </w:rPr>
        <w:t>202</w:t>
      </w:r>
      <w:r>
        <w:rPr>
          <w:rFonts w:hint="eastAsia" w:ascii="等线" w:hAnsi="等线" w:eastAsia="等线" w:cs="等线"/>
          <w:color w:val="auto"/>
          <w:spacing w:val="0"/>
          <w:position w:val="0"/>
          <w:sz w:val="24"/>
          <w:shd w:val="clear" w:fill="auto"/>
          <w:lang w:val="en-US" w:eastAsia="zh-CN"/>
        </w:rPr>
        <w:t>6</w:t>
      </w:r>
      <w:r>
        <w:rPr>
          <w:rFonts w:ascii="等线" w:hAnsi="等线" w:eastAsia="等线" w:cs="等线"/>
          <w:color w:val="auto"/>
          <w:spacing w:val="0"/>
          <w:position w:val="0"/>
          <w:sz w:val="24"/>
          <w:shd w:val="clear" w:fill="auto"/>
        </w:rPr>
        <w:t>年</w:t>
      </w:r>
      <w:r>
        <w:rPr>
          <w:rFonts w:hint="eastAsia" w:ascii="等线" w:hAnsi="等线" w:eastAsia="等线" w:cs="等线"/>
          <w:color w:val="auto"/>
          <w:spacing w:val="0"/>
          <w:position w:val="0"/>
          <w:sz w:val="24"/>
          <w:shd w:val="clear" w:fill="auto"/>
          <w:lang w:val="en-US" w:eastAsia="zh-CN"/>
        </w:rPr>
        <w:t>9</w:t>
      </w:r>
      <w:r>
        <w:rPr>
          <w:rFonts w:ascii="等线" w:hAnsi="等线" w:eastAsia="等线" w:cs="等线"/>
          <w:color w:val="auto"/>
          <w:spacing w:val="0"/>
          <w:position w:val="0"/>
          <w:sz w:val="24"/>
          <w:shd w:val="clear" w:fill="auto"/>
        </w:rPr>
        <w:t>月</w:t>
      </w:r>
      <w:r>
        <w:rPr>
          <w:rFonts w:hint="eastAsia" w:ascii="等线" w:hAnsi="等线" w:eastAsia="等线" w:cs="等线"/>
          <w:color w:val="auto"/>
          <w:spacing w:val="0"/>
          <w:position w:val="0"/>
          <w:sz w:val="24"/>
          <w:shd w:val="clear" w:fill="auto"/>
          <w:lang w:val="en-US" w:eastAsia="zh-CN"/>
        </w:rPr>
        <w:t>11</w:t>
      </w:r>
      <w:bookmarkStart w:id="0" w:name="_GoBack"/>
      <w:bookmarkEnd w:id="0"/>
      <w:r>
        <w:rPr>
          <w:rFonts w:ascii="等线" w:hAnsi="等线" w:eastAsia="等线" w:cs="等线"/>
          <w:color w:val="auto"/>
          <w:spacing w:val="0"/>
          <w:position w:val="0"/>
          <w:sz w:val="24"/>
          <w:shd w:val="clear" w:fill="auto"/>
        </w:rPr>
        <w:t>日</w:t>
      </w:r>
    </w:p>
    <w:p w14:paraId="557958DD">
      <w:pPr>
        <w:spacing w:before="0" w:after="0" w:line="360" w:lineRule="auto"/>
        <w:ind w:left="0" w:right="720" w:firstLine="0"/>
        <w:jc w:val="right"/>
        <w:rPr>
          <w:rFonts w:ascii="等线" w:hAnsi="等线" w:eastAsia="等线" w:cs="等线"/>
          <w:color w:val="auto"/>
          <w:spacing w:val="0"/>
          <w:position w:val="0"/>
          <w:sz w:val="24"/>
          <w:shd w:val="clear" w:fill="auto"/>
        </w:rPr>
      </w:pPr>
    </w:p>
    <w:p w14:paraId="55445697">
      <w:pPr>
        <w:spacing w:before="0" w:after="0" w:line="360" w:lineRule="auto"/>
        <w:ind w:left="0" w:right="720" w:firstLine="0"/>
        <w:jc w:val="left"/>
        <w:rPr>
          <w:rFonts w:hint="eastAsia" w:ascii="等线" w:hAnsi="等线" w:eastAsia="等线" w:cs="等线"/>
          <w:b/>
          <w:bCs/>
          <w:color w:val="auto"/>
          <w:spacing w:val="0"/>
          <w:position w:val="0"/>
          <w:sz w:val="24"/>
          <w:shd w:val="clear" w:fill="auto"/>
          <w:lang w:val="en-US" w:eastAsia="zh-CN"/>
        </w:rPr>
      </w:pPr>
    </w:p>
    <w:p w14:paraId="7379F8FB">
      <w:pPr>
        <w:spacing w:before="0" w:after="0" w:line="360" w:lineRule="auto"/>
        <w:ind w:left="0" w:right="720" w:firstLine="0"/>
        <w:jc w:val="left"/>
        <w:rPr>
          <w:rFonts w:hint="eastAsia" w:ascii="等线" w:hAnsi="等线" w:eastAsia="等线" w:cs="等线"/>
          <w:b/>
          <w:bCs/>
          <w:color w:val="auto"/>
          <w:spacing w:val="0"/>
          <w:position w:val="0"/>
          <w:sz w:val="24"/>
          <w:shd w:val="clear" w:fill="auto"/>
          <w:lang w:val="en-US" w:eastAsia="zh-CN"/>
        </w:rPr>
      </w:pPr>
    </w:p>
    <w:p w14:paraId="27981551">
      <w:pPr>
        <w:spacing w:before="0" w:after="0" w:line="360" w:lineRule="auto"/>
        <w:ind w:left="0" w:right="720" w:firstLine="0"/>
        <w:jc w:val="left"/>
        <w:rPr>
          <w:rFonts w:hint="eastAsia" w:ascii="等线" w:hAnsi="等线" w:eastAsia="等线" w:cs="等线"/>
          <w:b/>
          <w:bCs/>
          <w:color w:val="auto"/>
          <w:spacing w:val="0"/>
          <w:position w:val="0"/>
          <w:sz w:val="24"/>
          <w:shd w:val="clear" w:fill="auto"/>
          <w:lang w:val="en-US" w:eastAsia="zh-CN"/>
        </w:rPr>
      </w:pPr>
    </w:p>
    <w:p w14:paraId="71C1DA40">
      <w:pPr>
        <w:spacing w:before="0" w:after="0" w:line="360" w:lineRule="auto"/>
        <w:ind w:left="0" w:right="720" w:firstLine="0"/>
        <w:jc w:val="left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</w:pPr>
      <w:r>
        <w:rPr>
          <w:rFonts w:hint="eastAsia" w:ascii="等线" w:hAnsi="等线" w:eastAsia="等线" w:cs="等线"/>
          <w:b/>
          <w:bCs/>
          <w:color w:val="auto"/>
          <w:spacing w:val="0"/>
          <w:position w:val="0"/>
          <w:sz w:val="24"/>
          <w:shd w:val="clear" w:fill="auto"/>
          <w:lang w:val="en-US" w:eastAsia="zh-CN"/>
        </w:rPr>
        <w:t>注：无重大违法纪录承诺函及法人资格证明模板见附页</w:t>
      </w:r>
    </w:p>
    <w:p w14:paraId="41983D37">
      <w:pPr>
        <w:jc w:val="center"/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无重大违法纪录承诺函</w:t>
      </w:r>
    </w:p>
    <w:p w14:paraId="568BC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atLeas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 w14:paraId="16E11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atLeas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尊敬的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金龙联合汽车工业（苏州）有限公司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：</w:t>
      </w:r>
    </w:p>
    <w:p w14:paraId="26DFF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我司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 xml:space="preserve"> 参与贵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司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组织的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项目投标活动，现郑重承诺：</w:t>
      </w:r>
    </w:p>
    <w:p w14:paraId="36ED7A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在过去的三年内，我司严格遵守国家法律法规，在生产、经营、服务等各项活动中，无任何重大违法记录。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即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未曾因为违法违规行为受到刑事处罚、也未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被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责令停产停业、吊销许可证或执照、处以较大数额罚款等行政处罚；</w:t>
      </w:r>
    </w:p>
    <w:p w14:paraId="6D6ABB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本公司未被列入“严重违法失信企业名单”（黑名单）或“经营异常名录”；</w:t>
      </w:r>
    </w:p>
    <w:p w14:paraId="2311A7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若本次投标过程中，贵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司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发现我司作出虚假承诺，或在后续查证中证实我司存在重大违法纪录，我司愿意承担以下后果：</w:t>
      </w:r>
    </w:p>
    <w:p w14:paraId="713366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本次投标无效，自动放弃中标资格。若已中标，中标结果作废，并全额退还已获取的项目款项；</w:t>
      </w:r>
    </w:p>
    <w:p w14:paraId="17E018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赔偿因虚假承诺给贵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司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造成的全部直接和间接经济损失；</w:t>
      </w:r>
    </w:p>
    <w:p w14:paraId="247AD4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接受贵方依照相关规定做出的其他处罚，并承担相应法律责任。</w:t>
      </w:r>
    </w:p>
    <w:p w14:paraId="31D02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本承诺函自签署之日起生效，构成我司投标文件的重要组成部分，与其他投标文件具有同等法律效力。</w:t>
      </w:r>
    </w:p>
    <w:p w14:paraId="008ECF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特此承诺！</w:t>
      </w:r>
    </w:p>
    <w:p w14:paraId="07F033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7A3143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45C27F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39FF04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840" w:firstLineChars="16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供应商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（盖章）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        </w:t>
      </w:r>
    </w:p>
    <w:p w14:paraId="0D3D4B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840" w:firstLineChars="16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 xml:space="preserve">日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 xml:space="preserve">   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        </w:t>
      </w:r>
    </w:p>
    <w:p w14:paraId="0FEF14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 xml:space="preserve"> </w:t>
      </w:r>
    </w:p>
    <w:p w14:paraId="7BEAD431">
      <w:pPr>
        <w:spacing w:before="0" w:after="0" w:line="360" w:lineRule="auto"/>
        <w:ind w:left="0" w:right="720" w:firstLine="0"/>
        <w:jc w:val="both"/>
        <w:rPr>
          <w:rFonts w:hint="default" w:ascii="等线" w:hAnsi="等线" w:eastAsia="等线" w:cs="等线"/>
          <w:color w:val="auto"/>
          <w:spacing w:val="0"/>
          <w:position w:val="0"/>
          <w:sz w:val="24"/>
          <w:shd w:val="clear" w:fill="auto"/>
          <w:lang w:val="en-US" w:eastAsia="zh-CN"/>
        </w:rPr>
      </w:pPr>
    </w:p>
    <w:p w14:paraId="14836C8E">
      <w:pPr>
        <w:jc w:val="center"/>
        <w:rPr>
          <w:rFonts w:hint="default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法人资格证明</w:t>
      </w:r>
    </w:p>
    <w:p w14:paraId="0DDDE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atLeas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 w14:paraId="3614BBBC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公司基本信息</w:t>
      </w:r>
    </w:p>
    <w:p w14:paraId="3F7FAD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根据《中华人民共和国公司法》规定，兹证明：</w:t>
      </w:r>
    </w:p>
    <w:p w14:paraId="642010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公司，于 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>（   年    月    日）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经（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审批局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）核准登记，统一社会信用代码：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，具备独立法人资格。其法定代表人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依法享有代表企业行使民事权利、履行民事义务的资格。</w:t>
      </w:r>
    </w:p>
    <w:p w14:paraId="70F622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rFonts w:hint="default" w:asciiTheme="minorEastAsia" w:hAnsiTheme="minorEastAsia" w:cstheme="minorEastAsia"/>
          <w:sz w:val="24"/>
          <w:szCs w:val="24"/>
          <w:u w:val="none"/>
          <w:lang w:val="en-US" w:eastAsia="zh-CN"/>
        </w:rPr>
      </w:pPr>
    </w:p>
    <w:p w14:paraId="4A0A4C52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法定代表人身份信息</w:t>
      </w:r>
    </w:p>
    <w:p w14:paraId="57DA743A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姓      名：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     </w:t>
      </w:r>
    </w:p>
    <w:p w14:paraId="46526891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Theme="minorEastAsia" w:hAnsi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职      务：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     </w:t>
      </w:r>
    </w:p>
    <w:p w14:paraId="11B0B81A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身份证号码：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     </w:t>
      </w:r>
    </w:p>
    <w:p w14:paraId="45F2DD24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联 系 方式：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     </w:t>
      </w:r>
    </w:p>
    <w:p w14:paraId="47CE7B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840" w:firstLineChars="16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46C17D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840" w:firstLineChars="16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695977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840" w:firstLineChars="16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</w:pPr>
    </w:p>
    <w:p w14:paraId="256F87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840" w:firstLineChars="16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供应商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（盖章）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        </w:t>
      </w:r>
    </w:p>
    <w:p w14:paraId="6FEE20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840" w:firstLineChars="16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 xml:space="preserve">日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  <w:lang w:val="en-US" w:eastAsia="zh-CN"/>
        </w:rPr>
        <w:t xml:space="preserve">   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         </w:t>
      </w:r>
    </w:p>
    <w:p w14:paraId="4E7CDAC7">
      <w:pPr>
        <w:spacing w:before="0" w:after="0" w:line="360" w:lineRule="auto"/>
        <w:ind w:left="0" w:right="720" w:firstLine="0"/>
        <w:jc w:val="both"/>
        <w:rPr>
          <w:rFonts w:hint="default" w:ascii="等线" w:hAnsi="等线" w:eastAsia="等线" w:cs="等线"/>
          <w:color w:val="auto"/>
          <w:spacing w:val="0"/>
          <w:position w:val="0"/>
          <w:sz w:val="24"/>
          <w:shd w:val="clear" w:fill="auto"/>
          <w:lang w:val="en-US" w:eastAsia="zh-CN"/>
        </w:rPr>
      </w:pPr>
    </w:p>
    <w:p w14:paraId="65D3BF31">
      <w:pPr>
        <w:spacing w:line="360" w:lineRule="auto"/>
        <w:ind w:right="720"/>
        <w:jc w:val="right"/>
        <w:rPr>
          <w:sz w:val="24"/>
        </w:rPr>
      </w:pPr>
    </w:p>
    <w:sectPr>
      <w:headerReference r:id="rId3" w:type="default"/>
      <w:pgSz w:w="12240" w:h="15840" w:orient="landscape"/>
      <w:pgMar w:top="1134" w:right="900" w:bottom="993" w:left="1021" w:header="624" w:footer="510" w:gutter="0"/>
      <w:cols w:space="720" w:num="1"/>
      <w:docGrid w:type="lines" w:linePitch="27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0B1BA">
    <w:pPr>
      <w:pStyle w:val="9"/>
      <w:jc w:val="left"/>
      <w:rPr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</w:rPr>
      <w:t xml:space="preserve">  </w:t>
    </w:r>
    <w:r>
      <w:drawing>
        <wp:inline distT="0" distB="0" distL="114300" distR="114300">
          <wp:extent cx="1771650" cy="6477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16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</w:t>
    </w:r>
    <w:r>
      <w:rPr>
        <w:rFonts w:hint="eastAsia"/>
        <w:b/>
        <w:color w:val="000000" w:themeColor="text1"/>
        <w:sz w:val="24"/>
        <w:lang w:val="en-US" w:eastAsia="zh-CN"/>
        <w14:textFill>
          <w14:solidFill>
            <w14:schemeClr w14:val="tx1"/>
          </w14:solidFill>
        </w14:textFill>
      </w:rPr>
      <w:t>厦门</w:t>
    </w:r>
    <w:r>
      <w:rPr>
        <w:rFonts w:hint="eastAsia"/>
        <w:b/>
        <w:color w:val="000000" w:themeColor="text1"/>
        <w:sz w:val="24"/>
        <w14:textFill>
          <w14:solidFill>
            <w14:schemeClr w14:val="tx1"/>
          </w14:solidFill>
        </w14:textFill>
      </w:rPr>
      <w:t>金龙</w:t>
    </w:r>
    <w:r>
      <w:rPr>
        <w:rFonts w:hint="eastAsia"/>
        <w:b/>
        <w:color w:val="000000" w:themeColor="text1"/>
        <w:sz w:val="24"/>
        <w:lang w:val="en-US" w:eastAsia="zh-CN"/>
        <w14:textFill>
          <w14:solidFill>
            <w14:schemeClr w14:val="tx1"/>
          </w14:solidFill>
        </w14:textFill>
      </w:rPr>
      <w:t>汽车集团股份有限公司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CF6562"/>
    <w:multiLevelType w:val="singleLevel"/>
    <w:tmpl w:val="B2CF656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0234B45"/>
    <w:multiLevelType w:val="singleLevel"/>
    <w:tmpl w:val="F0234B45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F66C6CA5"/>
    <w:multiLevelType w:val="singleLevel"/>
    <w:tmpl w:val="F66C6CA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3012CF34"/>
    <w:multiLevelType w:val="singleLevel"/>
    <w:tmpl w:val="3012CF3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39C6C35F"/>
    <w:multiLevelType w:val="singleLevel"/>
    <w:tmpl w:val="39C6C35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4235B964"/>
    <w:multiLevelType w:val="singleLevel"/>
    <w:tmpl w:val="4235B96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7DC45B70"/>
    <w:multiLevelType w:val="singleLevel"/>
    <w:tmpl w:val="7DC45B7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7C9"/>
    <w:rsid w:val="00037A8E"/>
    <w:rsid w:val="00041191"/>
    <w:rsid w:val="00046C02"/>
    <w:rsid w:val="000562DE"/>
    <w:rsid w:val="00072604"/>
    <w:rsid w:val="000E65D8"/>
    <w:rsid w:val="0015350A"/>
    <w:rsid w:val="001D5E39"/>
    <w:rsid w:val="0021358A"/>
    <w:rsid w:val="00223210"/>
    <w:rsid w:val="00253857"/>
    <w:rsid w:val="00254A71"/>
    <w:rsid w:val="0026738B"/>
    <w:rsid w:val="002A1D9F"/>
    <w:rsid w:val="00305B64"/>
    <w:rsid w:val="00382AD7"/>
    <w:rsid w:val="003C275F"/>
    <w:rsid w:val="004337F9"/>
    <w:rsid w:val="00487BEC"/>
    <w:rsid w:val="00487D5A"/>
    <w:rsid w:val="004C7299"/>
    <w:rsid w:val="0052048A"/>
    <w:rsid w:val="00523FA8"/>
    <w:rsid w:val="005B1EC3"/>
    <w:rsid w:val="005C1BE3"/>
    <w:rsid w:val="005D760C"/>
    <w:rsid w:val="005F3159"/>
    <w:rsid w:val="005F4780"/>
    <w:rsid w:val="00631F27"/>
    <w:rsid w:val="00655A27"/>
    <w:rsid w:val="00656563"/>
    <w:rsid w:val="006652BA"/>
    <w:rsid w:val="006747C9"/>
    <w:rsid w:val="006E121A"/>
    <w:rsid w:val="0071007D"/>
    <w:rsid w:val="00727E8B"/>
    <w:rsid w:val="00730DB9"/>
    <w:rsid w:val="00735644"/>
    <w:rsid w:val="00741ABB"/>
    <w:rsid w:val="00770E20"/>
    <w:rsid w:val="007C1C96"/>
    <w:rsid w:val="007C7F03"/>
    <w:rsid w:val="00812CED"/>
    <w:rsid w:val="00821C13"/>
    <w:rsid w:val="00825EF8"/>
    <w:rsid w:val="00853D4C"/>
    <w:rsid w:val="00856D8C"/>
    <w:rsid w:val="00871C4C"/>
    <w:rsid w:val="00875091"/>
    <w:rsid w:val="008759C4"/>
    <w:rsid w:val="00887512"/>
    <w:rsid w:val="008B2F17"/>
    <w:rsid w:val="008D4FC7"/>
    <w:rsid w:val="00912625"/>
    <w:rsid w:val="00920D1E"/>
    <w:rsid w:val="009227CD"/>
    <w:rsid w:val="00922C22"/>
    <w:rsid w:val="00966AF2"/>
    <w:rsid w:val="00971DE9"/>
    <w:rsid w:val="00985BA9"/>
    <w:rsid w:val="009B168F"/>
    <w:rsid w:val="009C34BE"/>
    <w:rsid w:val="009D0ABC"/>
    <w:rsid w:val="009F411B"/>
    <w:rsid w:val="00A85033"/>
    <w:rsid w:val="00A90D0D"/>
    <w:rsid w:val="00AA0194"/>
    <w:rsid w:val="00AD3F52"/>
    <w:rsid w:val="00B81025"/>
    <w:rsid w:val="00BB2D24"/>
    <w:rsid w:val="00C029DF"/>
    <w:rsid w:val="00C42F5E"/>
    <w:rsid w:val="00C45A6C"/>
    <w:rsid w:val="00C67536"/>
    <w:rsid w:val="00C84138"/>
    <w:rsid w:val="00CC378C"/>
    <w:rsid w:val="00CC44A8"/>
    <w:rsid w:val="00CE6F4F"/>
    <w:rsid w:val="00D77726"/>
    <w:rsid w:val="00D9591D"/>
    <w:rsid w:val="00DC2FAC"/>
    <w:rsid w:val="00E247CB"/>
    <w:rsid w:val="00E4546D"/>
    <w:rsid w:val="00E64B82"/>
    <w:rsid w:val="00F001AD"/>
    <w:rsid w:val="00F4716A"/>
    <w:rsid w:val="00F530F1"/>
    <w:rsid w:val="00F67FE0"/>
    <w:rsid w:val="00F81298"/>
    <w:rsid w:val="00F868F9"/>
    <w:rsid w:val="00FA02F3"/>
    <w:rsid w:val="00FE42F9"/>
    <w:rsid w:val="01B93EE0"/>
    <w:rsid w:val="02E92054"/>
    <w:rsid w:val="02F13652"/>
    <w:rsid w:val="02FA5B72"/>
    <w:rsid w:val="03C5653F"/>
    <w:rsid w:val="048A3879"/>
    <w:rsid w:val="04A5362F"/>
    <w:rsid w:val="04B403C6"/>
    <w:rsid w:val="060644F0"/>
    <w:rsid w:val="080E0EAA"/>
    <w:rsid w:val="0942143F"/>
    <w:rsid w:val="0B417A4B"/>
    <w:rsid w:val="0C9903CC"/>
    <w:rsid w:val="0CB948BD"/>
    <w:rsid w:val="0F1E2E6C"/>
    <w:rsid w:val="109E2C6C"/>
    <w:rsid w:val="11075493"/>
    <w:rsid w:val="120927A6"/>
    <w:rsid w:val="132248F2"/>
    <w:rsid w:val="138B0A9F"/>
    <w:rsid w:val="13E95EA2"/>
    <w:rsid w:val="184A187D"/>
    <w:rsid w:val="199620E2"/>
    <w:rsid w:val="19D506C0"/>
    <w:rsid w:val="19D934F7"/>
    <w:rsid w:val="1AEB4D0D"/>
    <w:rsid w:val="1AFB48AB"/>
    <w:rsid w:val="1B007360"/>
    <w:rsid w:val="1C990419"/>
    <w:rsid w:val="1CB57CA7"/>
    <w:rsid w:val="1CD550E9"/>
    <w:rsid w:val="1D2F1B6F"/>
    <w:rsid w:val="1EC665BB"/>
    <w:rsid w:val="1F227E5F"/>
    <w:rsid w:val="1F502E6E"/>
    <w:rsid w:val="20E37A02"/>
    <w:rsid w:val="210A56C3"/>
    <w:rsid w:val="215C0E89"/>
    <w:rsid w:val="217A6C7B"/>
    <w:rsid w:val="219552A7"/>
    <w:rsid w:val="22306E2D"/>
    <w:rsid w:val="22931946"/>
    <w:rsid w:val="22D24CAE"/>
    <w:rsid w:val="23531D85"/>
    <w:rsid w:val="262C11AD"/>
    <w:rsid w:val="264C2EC3"/>
    <w:rsid w:val="28302D5A"/>
    <w:rsid w:val="289D74C1"/>
    <w:rsid w:val="28FB5AC8"/>
    <w:rsid w:val="29F456FA"/>
    <w:rsid w:val="29FA3A17"/>
    <w:rsid w:val="2A331048"/>
    <w:rsid w:val="2C615316"/>
    <w:rsid w:val="2CB16AE3"/>
    <w:rsid w:val="2D05777F"/>
    <w:rsid w:val="2EF462DB"/>
    <w:rsid w:val="2F854569"/>
    <w:rsid w:val="311268E7"/>
    <w:rsid w:val="316D1286"/>
    <w:rsid w:val="33566B7B"/>
    <w:rsid w:val="344D6161"/>
    <w:rsid w:val="36D83D8B"/>
    <w:rsid w:val="378E47B3"/>
    <w:rsid w:val="379527A2"/>
    <w:rsid w:val="3B337E2C"/>
    <w:rsid w:val="3C122D1E"/>
    <w:rsid w:val="3E565CBB"/>
    <w:rsid w:val="3E9C72F7"/>
    <w:rsid w:val="417814FB"/>
    <w:rsid w:val="41CE1ACE"/>
    <w:rsid w:val="42243B40"/>
    <w:rsid w:val="42AA1BED"/>
    <w:rsid w:val="46361498"/>
    <w:rsid w:val="488A2E81"/>
    <w:rsid w:val="495B699E"/>
    <w:rsid w:val="4B10059A"/>
    <w:rsid w:val="4C86482F"/>
    <w:rsid w:val="50246707"/>
    <w:rsid w:val="511B04DB"/>
    <w:rsid w:val="52571024"/>
    <w:rsid w:val="52A872CB"/>
    <w:rsid w:val="547C67AB"/>
    <w:rsid w:val="54BF49A4"/>
    <w:rsid w:val="55AC109B"/>
    <w:rsid w:val="55BE6DB7"/>
    <w:rsid w:val="568155AA"/>
    <w:rsid w:val="56D158F7"/>
    <w:rsid w:val="57C56278"/>
    <w:rsid w:val="580750B7"/>
    <w:rsid w:val="58AE4C17"/>
    <w:rsid w:val="593540AA"/>
    <w:rsid w:val="5967213C"/>
    <w:rsid w:val="5A1B6088"/>
    <w:rsid w:val="5A8E7CB0"/>
    <w:rsid w:val="5B4A62E9"/>
    <w:rsid w:val="5B546464"/>
    <w:rsid w:val="5B6F37C1"/>
    <w:rsid w:val="5BB12A47"/>
    <w:rsid w:val="5C1C479A"/>
    <w:rsid w:val="5C1F3D56"/>
    <w:rsid w:val="5C6F4632"/>
    <w:rsid w:val="5E181F57"/>
    <w:rsid w:val="5ED820CF"/>
    <w:rsid w:val="5EE270B0"/>
    <w:rsid w:val="5FD78D32"/>
    <w:rsid w:val="618F2A1B"/>
    <w:rsid w:val="63654BA0"/>
    <w:rsid w:val="66C21F74"/>
    <w:rsid w:val="66F43AF7"/>
    <w:rsid w:val="67DD018E"/>
    <w:rsid w:val="67DD3A75"/>
    <w:rsid w:val="6A82754B"/>
    <w:rsid w:val="6AC5070A"/>
    <w:rsid w:val="6B0B1A2E"/>
    <w:rsid w:val="6BE54C14"/>
    <w:rsid w:val="6CBE48F7"/>
    <w:rsid w:val="6DE43675"/>
    <w:rsid w:val="6E0B4668"/>
    <w:rsid w:val="6EEC1689"/>
    <w:rsid w:val="6FCC6EDD"/>
    <w:rsid w:val="7213535F"/>
    <w:rsid w:val="728A53DE"/>
    <w:rsid w:val="740A6721"/>
    <w:rsid w:val="752C5D31"/>
    <w:rsid w:val="754E4488"/>
    <w:rsid w:val="75D62561"/>
    <w:rsid w:val="766024C5"/>
    <w:rsid w:val="76741165"/>
    <w:rsid w:val="76A22507"/>
    <w:rsid w:val="76D914DE"/>
    <w:rsid w:val="772425D1"/>
    <w:rsid w:val="775A69AC"/>
    <w:rsid w:val="7A206771"/>
    <w:rsid w:val="7AFD1314"/>
    <w:rsid w:val="7B6569FF"/>
    <w:rsid w:val="7B8E624C"/>
    <w:rsid w:val="7C146234"/>
    <w:rsid w:val="7C4A3194"/>
    <w:rsid w:val="7C4D0CAF"/>
    <w:rsid w:val="7D55172E"/>
    <w:rsid w:val="7DB644CB"/>
    <w:rsid w:val="7FCD4E19"/>
    <w:rsid w:val="7FCE693F"/>
    <w:rsid w:val="DFFEF609"/>
    <w:rsid w:val="F77F7945"/>
    <w:rsid w:val="FDFDD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color w:val="0000FF"/>
      <w:sz w:val="30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qFormat/>
    <w:uiPriority w:val="0"/>
    <w:rPr>
      <w:rFonts w:ascii="宋体"/>
      <w:sz w:val="18"/>
    </w:rPr>
  </w:style>
  <w:style w:type="paragraph" w:styleId="5">
    <w:name w:val="annotation text"/>
    <w:basedOn w:val="1"/>
    <w:qFormat/>
    <w:uiPriority w:val="0"/>
  </w:style>
  <w:style w:type="paragraph" w:styleId="6">
    <w:name w:val="Body Text Indent 2"/>
    <w:basedOn w:val="1"/>
    <w:qFormat/>
    <w:uiPriority w:val="0"/>
    <w:pPr>
      <w:widowControl w:val="0"/>
      <w:spacing w:line="360" w:lineRule="exact"/>
      <w:ind w:left="418" w:hanging="418" w:hangingChars="203"/>
    </w:pPr>
    <w:rPr>
      <w:rFonts w:ascii="宋体" w:hAnsi="宋体"/>
    </w:rPr>
  </w:style>
  <w:style w:type="paragraph" w:styleId="7">
    <w:name w:val="Balloon Text"/>
    <w:basedOn w:val="1"/>
    <w:qFormat/>
    <w:uiPriority w:val="0"/>
    <w:rPr>
      <w:sz w:val="18"/>
    </w:rPr>
  </w:style>
  <w:style w:type="paragraph" w:styleId="8">
    <w:name w:val="footer"/>
    <w:basedOn w:val="1"/>
    <w:qFormat/>
    <w:uiPriority w:val="0"/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000000" w:sz="6" w:space="1"/>
      </w:pBdr>
      <w:jc w:val="center"/>
    </w:pPr>
    <w:rPr>
      <w:sz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annotation subject"/>
    <w:basedOn w:val="5"/>
    <w:next w:val="5"/>
    <w:qFormat/>
    <w:uiPriority w:val="0"/>
    <w:rPr>
      <w:b/>
    </w:rPr>
  </w:style>
  <w:style w:type="table" w:styleId="13">
    <w:name w:val="Table Grid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styleId="17">
    <w:name w:val="annotation reference"/>
    <w:basedOn w:val="14"/>
    <w:qFormat/>
    <w:uiPriority w:val="0"/>
    <w:rPr>
      <w:sz w:val="21"/>
    </w:rPr>
  </w:style>
  <w:style w:type="character" w:customStyle="1" w:styleId="18">
    <w:name w:val="文档结构图 字符"/>
    <w:basedOn w:val="14"/>
    <w:qFormat/>
    <w:uiPriority w:val="0"/>
    <w:rPr>
      <w:rFonts w:ascii="宋体"/>
      <w:sz w:val="18"/>
    </w:rPr>
  </w:style>
  <w:style w:type="paragraph" w:styleId="19">
    <w:name w:val="List Paragraph"/>
    <w:basedOn w:val="1"/>
    <w:qFormat/>
    <w:uiPriority w:val="99"/>
    <w:pPr>
      <w:widowControl w:val="0"/>
      <w:spacing w:line="360" w:lineRule="auto"/>
      <w:ind w:firstLine="420" w:firstLineChars="200"/>
    </w:pPr>
    <w:rPr>
      <w:rFonts w:ascii="Calibri" w:hAnsi="Calibri"/>
    </w:rPr>
  </w:style>
  <w:style w:type="character" w:customStyle="1" w:styleId="20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102</Words>
  <Characters>583</Characters>
  <Lines>4</Lines>
  <Paragraphs>1</Paragraphs>
  <TotalTime>15</TotalTime>
  <ScaleCrop>false</ScaleCrop>
  <LinksUpToDate>false</LinksUpToDate>
  <CharactersWithSpaces>684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2023-07-04T17:16:00Z</dcterms:created>
  <dc:creator>wangying 王莹</dc:creator>
  <dc:description>DingTalk Document</dc:description>
  <cp:lastModifiedBy>zhangsj</cp:lastModifiedBy>
  <dcterms:modified xsi:type="dcterms:W3CDTF">2026-09-11T08:49:00Z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1505EEC9E09042349D4652DE9C822608_13</vt:lpwstr>
  </property>
</Properties>
</file>