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1846A6E">
      <w:pPr>
        <w:pStyle w:val="2"/>
        <w:keepNext w:val="0"/>
        <w:keepLines w:val="0"/>
        <w:adjustRightInd w:val="0"/>
        <w:snapToGrid w:val="0"/>
        <w:spacing w:before="0" w:after="120"/>
        <w:rPr>
          <w:sz w:val="30"/>
          <w:szCs w:val="30"/>
        </w:rPr>
      </w:pPr>
      <w:bookmarkStart w:id="0" w:name="_Toc21409"/>
      <w:bookmarkStart w:id="1" w:name="_Toc19915"/>
      <w:bookmarkStart w:id="2" w:name="_Toc20631"/>
      <w:bookmarkStart w:id="3" w:name="_Toc97560485"/>
      <w:bookmarkStart w:id="4" w:name="_Toc5934"/>
      <w:bookmarkStart w:id="5" w:name="_Toc14358"/>
      <w:bookmarkStart w:id="6" w:name="_Toc17193"/>
      <w:bookmarkStart w:id="7" w:name="_Toc26315"/>
      <w:r>
        <w:rPr>
          <w:rFonts w:hint="eastAsia"/>
          <w:color w:val="0000FF"/>
          <w:sz w:val="30"/>
          <w:szCs w:val="30"/>
          <w:lang w:val="en-US" w:eastAsia="zh-CN"/>
        </w:rPr>
        <w:t>手提/舱内灭火器</w:t>
      </w:r>
      <w:r>
        <w:rPr>
          <w:rFonts w:hint="eastAsia"/>
          <w:color w:val="0000FF"/>
          <w:sz w:val="30"/>
          <w:szCs w:val="30"/>
        </w:rPr>
        <w:t>项目</w:t>
      </w:r>
      <w:bookmarkStart w:id="8" w:name="OLE_LINK3"/>
      <w:r>
        <w:rPr>
          <w:rFonts w:hint="eastAsia"/>
          <w:sz w:val="30"/>
          <w:szCs w:val="30"/>
        </w:rPr>
        <w:t>综合</w:t>
      </w:r>
      <w:bookmarkEnd w:id="0"/>
      <w:bookmarkEnd w:id="1"/>
      <w:bookmarkEnd w:id="2"/>
      <w:bookmarkEnd w:id="3"/>
      <w:bookmarkEnd w:id="4"/>
      <w:bookmarkEnd w:id="5"/>
      <w:bookmarkEnd w:id="6"/>
      <w:bookmarkEnd w:id="7"/>
      <w:r>
        <w:rPr>
          <w:rFonts w:hint="eastAsia"/>
          <w:sz w:val="30"/>
          <w:szCs w:val="30"/>
        </w:rPr>
        <w:t>评审法方案</w:t>
      </w:r>
      <w:bookmarkEnd w:id="8"/>
      <w:r>
        <w:rPr>
          <w:sz w:val="30"/>
          <w:szCs w:val="30"/>
        </w:rPr>
        <w:t>-</w:t>
      </w:r>
      <w:r>
        <w:rPr>
          <w:rFonts w:hint="eastAsia"/>
          <w:sz w:val="30"/>
          <w:szCs w:val="30"/>
        </w:rPr>
        <w:t>生产物资-</w:t>
      </w:r>
      <w:r>
        <w:rPr>
          <w:rFonts w:hint="eastAsia"/>
          <w:color w:val="0000FF"/>
          <w:sz w:val="30"/>
          <w:szCs w:val="30"/>
        </w:rPr>
        <w:t>（参考V3.0）</w:t>
      </w:r>
    </w:p>
    <w:p w14:paraId="0FF3D4A8">
      <w:pPr>
        <w:pStyle w:val="14"/>
        <w:numPr>
          <w:ilvl w:val="0"/>
          <w:numId w:val="1"/>
        </w:numPr>
        <w:spacing w:before="156" w:beforeLines="50" w:after="156" w:afterLines="50" w:line="440" w:lineRule="exact"/>
        <w:ind w:left="442" w:hanging="442" w:firstLineChars="0"/>
        <w:outlineLvl w:val="1"/>
        <w:rPr>
          <w:rFonts w:hint="eastAsia" w:ascii="宋体" w:hAnsi="宋体"/>
          <w:b/>
          <w:sz w:val="28"/>
          <w:szCs w:val="28"/>
        </w:rPr>
      </w:pPr>
      <w:r>
        <w:rPr>
          <w:rFonts w:ascii="宋体" w:hAnsi="宋体"/>
          <w:b/>
          <w:sz w:val="28"/>
          <w:szCs w:val="28"/>
          <w:lang w:val="zh-CN"/>
        </w:rPr>
        <w:t>评标方法：综合</w:t>
      </w:r>
      <w:r>
        <w:rPr>
          <w:rFonts w:hint="eastAsia" w:ascii="宋体" w:hAnsi="宋体"/>
          <w:b/>
          <w:sz w:val="28"/>
          <w:szCs w:val="28"/>
          <w:lang w:val="zh-CN"/>
        </w:rPr>
        <w:t>评审</w:t>
      </w:r>
      <w:r>
        <w:rPr>
          <w:rFonts w:ascii="宋体" w:hAnsi="宋体"/>
          <w:b/>
          <w:sz w:val="28"/>
          <w:szCs w:val="28"/>
          <w:lang w:val="zh-CN"/>
        </w:rPr>
        <w:t>法</w:t>
      </w:r>
    </w:p>
    <w:p w14:paraId="1831EA94">
      <w:pPr>
        <w:spacing w:line="440" w:lineRule="exact"/>
        <w:ind w:firstLine="480" w:firstLineChars="200"/>
        <w:rPr>
          <w:rFonts w:hint="eastAsia" w:ascii="宋体" w:hAnsi="宋体"/>
          <w:sz w:val="24"/>
          <w:lang w:val="zh-CN"/>
        </w:rPr>
      </w:pPr>
      <w:bookmarkStart w:id="9" w:name="OLE_LINK6"/>
      <w:r>
        <w:rPr>
          <w:rFonts w:ascii="宋体" w:hAnsi="宋体"/>
          <w:sz w:val="24"/>
          <w:lang w:val="zh-CN"/>
        </w:rPr>
        <w:t>对所有投标人的投标文件评审，都采用相同的程序和标准。</w:t>
      </w:r>
    </w:p>
    <w:p w14:paraId="7B6570FB">
      <w:pPr>
        <w:pStyle w:val="14"/>
        <w:numPr>
          <w:ilvl w:val="0"/>
          <w:numId w:val="2"/>
        </w:numPr>
        <w:spacing w:line="440" w:lineRule="exact"/>
        <w:ind w:left="0" w:firstLine="480"/>
        <w:rPr>
          <w:rFonts w:hint="eastAsia" w:ascii="宋体" w:hAnsi="宋体"/>
        </w:rPr>
      </w:pPr>
      <w:r>
        <w:rPr>
          <w:rFonts w:hint="eastAsia" w:ascii="宋体" w:hAnsi="宋体"/>
        </w:rPr>
        <w:t>采购评标小组成员</w:t>
      </w:r>
    </w:p>
    <w:p w14:paraId="5427B779">
      <w:pPr>
        <w:spacing w:line="440" w:lineRule="exact"/>
        <w:ind w:firstLine="480" w:firstLineChars="200"/>
        <w:rPr>
          <w:rFonts w:hint="eastAsia" w:ascii="宋体" w:hAnsi="宋体"/>
          <w:sz w:val="24"/>
        </w:rPr>
      </w:pPr>
      <w:r>
        <w:rPr>
          <w:rFonts w:hint="eastAsia" w:ascii="宋体" w:hAnsi="宋体"/>
          <w:sz w:val="24"/>
        </w:rPr>
        <w:t>①开标评审人员均按项目类别由系统随机在金龙公司的开标评审人才库随机抽选；</w:t>
      </w:r>
    </w:p>
    <w:p w14:paraId="7D6B3C9B">
      <w:pPr>
        <w:spacing w:line="440" w:lineRule="exact"/>
        <w:ind w:firstLine="480" w:firstLineChars="200"/>
        <w:rPr>
          <w:rFonts w:hint="eastAsia" w:ascii="宋体" w:hAnsi="宋体"/>
          <w:sz w:val="24"/>
        </w:rPr>
      </w:pPr>
      <w:r>
        <w:rPr>
          <w:rFonts w:hint="eastAsia" w:ascii="宋体" w:hAnsi="宋体"/>
          <w:sz w:val="24"/>
        </w:rPr>
        <w:t>②针对技术复杂、专业性强或者存在特殊原因的由招标中心根据情况指定评标人员。</w:t>
      </w:r>
    </w:p>
    <w:p w14:paraId="4E00F66C">
      <w:pPr>
        <w:spacing w:line="440" w:lineRule="exact"/>
        <w:ind w:firstLine="480" w:firstLineChars="200"/>
        <w:rPr>
          <w:rFonts w:hint="eastAsia" w:ascii="宋体" w:hAnsi="宋体"/>
          <w:sz w:val="24"/>
          <w:lang w:val="zh-CN"/>
        </w:rPr>
      </w:pPr>
      <w:r>
        <w:rPr>
          <w:rFonts w:hint="eastAsia" w:ascii="宋体" w:hAnsi="宋体"/>
          <w:sz w:val="24"/>
        </w:rPr>
        <w:t>③评标人员成员一般为5人及以上单数。</w:t>
      </w:r>
    </w:p>
    <w:p w14:paraId="7B0646EB">
      <w:pPr>
        <w:pStyle w:val="14"/>
        <w:numPr>
          <w:ilvl w:val="0"/>
          <w:numId w:val="2"/>
        </w:numPr>
        <w:spacing w:line="440" w:lineRule="exact"/>
        <w:ind w:left="0" w:firstLine="480"/>
        <w:rPr>
          <w:rFonts w:hint="eastAsia" w:ascii="宋体" w:hAnsi="宋体"/>
          <w:lang w:val="zh-CN"/>
        </w:rPr>
      </w:pPr>
      <w:r>
        <w:rPr>
          <w:rFonts w:ascii="宋体" w:hAnsi="宋体"/>
          <w:lang w:val="zh-CN"/>
        </w:rPr>
        <w:t>由</w:t>
      </w:r>
      <w:r>
        <w:rPr>
          <w:rFonts w:hint="eastAsia" w:ascii="宋体" w:hAnsi="宋体"/>
        </w:rPr>
        <w:t>招标评审小组成员</w:t>
      </w:r>
      <w:r>
        <w:rPr>
          <w:rFonts w:ascii="宋体" w:hAnsi="宋体"/>
          <w:lang w:val="zh-CN"/>
        </w:rPr>
        <w:t>根据</w:t>
      </w:r>
      <w:r>
        <w:rPr>
          <w:rFonts w:hint="eastAsia" w:ascii="宋体" w:hAnsi="宋体"/>
          <w:lang w:val="zh-CN"/>
        </w:rPr>
        <w:t>招标文件</w:t>
      </w:r>
      <w:r>
        <w:rPr>
          <w:rFonts w:hint="eastAsia" w:ascii="宋体" w:hAnsi="宋体"/>
        </w:rPr>
        <w:t>审核的</w:t>
      </w:r>
      <w:r>
        <w:rPr>
          <w:rFonts w:ascii="宋体" w:hAnsi="宋体"/>
          <w:lang w:val="zh-CN"/>
        </w:rPr>
        <w:t>要求</w:t>
      </w:r>
      <w:r>
        <w:rPr>
          <w:rFonts w:hint="eastAsia" w:ascii="宋体" w:hAnsi="宋体"/>
          <w:lang w:val="zh-CN"/>
        </w:rPr>
        <w:t>（</w:t>
      </w:r>
      <w:r>
        <w:rPr>
          <w:rFonts w:hint="eastAsia" w:ascii="宋体" w:hAnsi="宋体"/>
        </w:rPr>
        <w:t>评审项目、内容、相关佐证材料</w:t>
      </w:r>
      <w:r>
        <w:rPr>
          <w:rFonts w:hint="eastAsia" w:ascii="宋体" w:hAnsi="宋体"/>
          <w:lang w:val="zh-CN"/>
        </w:rPr>
        <w:t>）、</w:t>
      </w:r>
      <w:r>
        <w:rPr>
          <w:rFonts w:hint="eastAsia" w:ascii="宋体" w:hAnsi="宋体"/>
        </w:rPr>
        <w:t>评分标准和计分方法</w:t>
      </w:r>
      <w:r>
        <w:rPr>
          <w:rFonts w:ascii="宋体" w:hAnsi="宋体"/>
          <w:lang w:val="zh-CN"/>
        </w:rPr>
        <w:t>，审核</w:t>
      </w:r>
      <w:r>
        <w:rPr>
          <w:rFonts w:hint="eastAsia" w:ascii="宋体" w:hAnsi="宋体"/>
        </w:rPr>
        <w:t>和评审</w:t>
      </w:r>
      <w:r>
        <w:rPr>
          <w:rFonts w:ascii="宋体" w:hAnsi="宋体"/>
          <w:lang w:val="zh-CN"/>
        </w:rPr>
        <w:t>各</w:t>
      </w:r>
      <w:r>
        <w:rPr>
          <w:rFonts w:hint="eastAsia" w:ascii="宋体" w:hAnsi="宋体"/>
          <w:lang w:val="zh-CN"/>
        </w:rPr>
        <w:t>投标方的</w:t>
      </w:r>
      <w:r>
        <w:rPr>
          <w:rFonts w:ascii="宋体" w:hAnsi="宋体"/>
          <w:lang w:val="zh-CN"/>
        </w:rPr>
        <w:t>投标文件</w:t>
      </w:r>
      <w:r>
        <w:rPr>
          <w:rFonts w:hint="eastAsia" w:ascii="宋体" w:hAnsi="宋体"/>
        </w:rPr>
        <w:t>的审核部分</w:t>
      </w:r>
      <w:r>
        <w:rPr>
          <w:rFonts w:ascii="宋体" w:hAnsi="宋体"/>
          <w:lang w:val="zh-CN"/>
        </w:rPr>
        <w:t>是否合格、有效</w:t>
      </w:r>
      <w:r>
        <w:rPr>
          <w:rFonts w:hint="eastAsia" w:ascii="宋体" w:hAnsi="宋体"/>
        </w:rPr>
        <w:t>或评价审核得分</w:t>
      </w:r>
      <w:r>
        <w:rPr>
          <w:rFonts w:hint="eastAsia" w:ascii="宋体" w:hAnsi="宋体"/>
          <w:lang w:val="zh-CN"/>
        </w:rPr>
        <w:t>（</w:t>
      </w:r>
      <w:r>
        <w:rPr>
          <w:rFonts w:ascii="宋体" w:hAnsi="宋体"/>
          <w:lang w:val="zh-CN"/>
        </w:rPr>
        <w:t>凡不符合专业条件要求</w:t>
      </w:r>
      <w:r>
        <w:rPr>
          <w:rFonts w:hint="eastAsia" w:ascii="宋体" w:hAnsi="宋体"/>
          <w:lang w:val="zh-CN"/>
        </w:rPr>
        <w:t>项</w:t>
      </w:r>
      <w:r>
        <w:rPr>
          <w:rFonts w:ascii="宋体" w:hAnsi="宋体"/>
          <w:lang w:val="zh-CN"/>
        </w:rPr>
        <w:t>和未实质性响应</w:t>
      </w:r>
      <w:r>
        <w:rPr>
          <w:rFonts w:hint="eastAsia" w:ascii="宋体" w:hAnsi="宋体"/>
        </w:rPr>
        <w:t>审核</w:t>
      </w:r>
      <w:r>
        <w:rPr>
          <w:rFonts w:hint="eastAsia" w:ascii="宋体" w:hAnsi="宋体"/>
          <w:lang w:val="zh-CN"/>
        </w:rPr>
        <w:t>文件</w:t>
      </w:r>
      <w:r>
        <w:rPr>
          <w:rFonts w:ascii="宋体" w:hAnsi="宋体"/>
          <w:lang w:val="zh-CN"/>
        </w:rPr>
        <w:t>要求的</w:t>
      </w:r>
      <w:r>
        <w:rPr>
          <w:rFonts w:hint="eastAsia" w:ascii="宋体" w:hAnsi="宋体"/>
          <w:lang w:val="zh-CN"/>
        </w:rPr>
        <w:t>内容项</w:t>
      </w:r>
      <w:r>
        <w:rPr>
          <w:rFonts w:ascii="宋体" w:hAnsi="宋体"/>
          <w:lang w:val="zh-CN"/>
        </w:rPr>
        <w:t>均不</w:t>
      </w:r>
      <w:r>
        <w:rPr>
          <w:rFonts w:hint="eastAsia" w:ascii="宋体" w:hAnsi="宋体"/>
          <w:lang w:val="zh-CN"/>
        </w:rPr>
        <w:t>得分）</w:t>
      </w:r>
      <w:r>
        <w:rPr>
          <w:rFonts w:ascii="宋体" w:hAnsi="宋体"/>
          <w:lang w:val="zh-CN"/>
        </w:rPr>
        <w:t>。</w:t>
      </w:r>
    </w:p>
    <w:p w14:paraId="7132241A">
      <w:pPr>
        <w:pStyle w:val="14"/>
        <w:numPr>
          <w:ilvl w:val="0"/>
          <w:numId w:val="2"/>
        </w:numPr>
        <w:spacing w:line="440" w:lineRule="exact"/>
        <w:ind w:left="0" w:firstLine="480"/>
        <w:rPr>
          <w:rFonts w:hint="eastAsia" w:ascii="宋体" w:hAnsi="宋体"/>
          <w:lang w:val="zh-CN"/>
        </w:rPr>
      </w:pPr>
      <w:r>
        <w:rPr>
          <w:rFonts w:ascii="宋体" w:hAnsi="宋体"/>
          <w:lang w:val="zh-CN"/>
        </w:rPr>
        <w:t>通过</w:t>
      </w:r>
      <w:r>
        <w:rPr>
          <w:rFonts w:hint="eastAsia" w:ascii="宋体" w:hAnsi="宋体"/>
          <w:lang w:val="zh-CN"/>
        </w:rPr>
        <w:t>企业入围预审审核的入围投标方</w:t>
      </w:r>
      <w:r>
        <w:rPr>
          <w:rFonts w:ascii="宋体" w:hAnsi="宋体"/>
          <w:lang w:val="zh-CN"/>
        </w:rPr>
        <w:t>，</w:t>
      </w:r>
      <w:r>
        <w:rPr>
          <w:rFonts w:hint="eastAsia" w:ascii="宋体" w:hAnsi="宋体"/>
        </w:rPr>
        <w:t>按照供应商能力审核评审项目/评分标准的评分标准和计分方法，对其供应商能力项进行评分和计分。</w:t>
      </w:r>
    </w:p>
    <w:p w14:paraId="0A913ADC">
      <w:pPr>
        <w:pStyle w:val="14"/>
        <w:numPr>
          <w:ilvl w:val="0"/>
          <w:numId w:val="2"/>
        </w:numPr>
        <w:spacing w:line="440" w:lineRule="exact"/>
        <w:ind w:left="0" w:firstLine="480"/>
        <w:rPr>
          <w:rFonts w:hint="eastAsia" w:ascii="宋体" w:hAnsi="宋体"/>
          <w:lang w:val="zh-CN"/>
        </w:rPr>
      </w:pPr>
      <w:r>
        <w:rPr>
          <w:rFonts w:hint="eastAsia" w:ascii="宋体" w:hAnsi="宋体"/>
        </w:rPr>
        <w:t>根据商务价格评分标准和计分方法,对其投标报价项进行评分和计分。</w:t>
      </w:r>
    </w:p>
    <w:p w14:paraId="24DD5AD7">
      <w:pPr>
        <w:pStyle w:val="14"/>
        <w:numPr>
          <w:ilvl w:val="0"/>
          <w:numId w:val="2"/>
        </w:numPr>
        <w:spacing w:line="440" w:lineRule="exact"/>
        <w:ind w:left="0" w:firstLine="480"/>
        <w:rPr>
          <w:rFonts w:hint="eastAsia" w:ascii="宋体" w:hAnsi="宋体"/>
          <w:lang w:val="zh-CN"/>
        </w:rPr>
      </w:pPr>
      <w:r>
        <w:rPr>
          <w:rFonts w:hint="eastAsia" w:ascii="宋体" w:hAnsi="宋体"/>
        </w:rPr>
        <w:t>根据供应商能力项的评分、商务价格项的评分的分配分值权重进行加权计算，计算出评标评审的最终综合评估分数，并按照从高到低依次进行排名，得出评审结果</w:t>
      </w:r>
      <w:bookmarkEnd w:id="9"/>
      <w:r>
        <w:rPr>
          <w:rFonts w:hint="eastAsia" w:ascii="宋体" w:hAnsi="宋体"/>
        </w:rPr>
        <w:t>。</w:t>
      </w:r>
    </w:p>
    <w:p w14:paraId="5AF2B688">
      <w:pPr>
        <w:pStyle w:val="14"/>
        <w:numPr>
          <w:ilvl w:val="0"/>
          <w:numId w:val="1"/>
        </w:numPr>
        <w:spacing w:before="156" w:beforeLines="50" w:after="156" w:afterLines="50" w:line="440" w:lineRule="exact"/>
        <w:ind w:left="442" w:hanging="442" w:firstLineChars="0"/>
        <w:outlineLvl w:val="1"/>
        <w:rPr>
          <w:rFonts w:hint="eastAsia" w:ascii="宋体" w:hAnsi="宋体"/>
          <w:b/>
          <w:color w:val="FF0000"/>
          <w:sz w:val="28"/>
          <w:szCs w:val="28"/>
          <w:lang w:val="zh-CN"/>
        </w:rPr>
      </w:pPr>
      <w:r>
        <w:rPr>
          <w:rFonts w:hint="eastAsia" w:ascii="宋体" w:hAnsi="宋体"/>
          <w:b/>
          <w:sz w:val="28"/>
          <w:szCs w:val="28"/>
          <w:lang w:val="zh-CN"/>
        </w:rPr>
        <w:t>评标标准</w:t>
      </w:r>
    </w:p>
    <w:p w14:paraId="77F1E355">
      <w:pPr>
        <w:numPr>
          <w:ilvl w:val="0"/>
          <w:numId w:val="3"/>
        </w:numPr>
        <w:spacing w:before="156" w:beforeLines="50" w:after="156" w:afterLines="50" w:line="440" w:lineRule="exact"/>
        <w:outlineLvl w:val="2"/>
        <w:rPr>
          <w:rFonts w:hint="eastAsia" w:ascii="宋体" w:hAnsi="宋体" w:cs="宋体"/>
          <w:b/>
          <w:sz w:val="24"/>
          <w:szCs w:val="24"/>
          <w:lang w:val="zh-CN"/>
        </w:rPr>
      </w:pPr>
      <w:r>
        <w:rPr>
          <w:rFonts w:hint="eastAsia" w:ascii="宋体" w:hAnsi="宋体" w:cs="宋体"/>
          <w:b/>
          <w:sz w:val="24"/>
          <w:szCs w:val="24"/>
        </w:rPr>
        <w:t>供应商能力审核维度</w:t>
      </w:r>
      <w:r>
        <w:rPr>
          <w:rFonts w:hint="eastAsia" w:ascii="宋体" w:hAnsi="宋体" w:cs="宋体"/>
          <w:b/>
          <w:sz w:val="24"/>
          <w:szCs w:val="24"/>
          <w:lang w:val="zh-CN"/>
        </w:rPr>
        <w:t>F1（满分</w:t>
      </w:r>
      <w:r>
        <w:rPr>
          <w:rFonts w:hint="eastAsia" w:ascii="宋体" w:hAnsi="宋体" w:cs="宋体"/>
          <w:b/>
          <w:sz w:val="24"/>
          <w:szCs w:val="24"/>
        </w:rPr>
        <w:t>100分，综合评审分配分值权重</w:t>
      </w:r>
      <w:r>
        <w:rPr>
          <w:rFonts w:hint="eastAsia" w:ascii="宋体" w:hAnsi="宋体" w:cs="宋体"/>
          <w:b/>
          <w:color w:val="FF0000"/>
          <w:sz w:val="24"/>
          <w:szCs w:val="24"/>
        </w:rPr>
        <w:t>50%</w:t>
      </w:r>
      <w:r>
        <w:rPr>
          <w:rFonts w:hint="eastAsia" w:ascii="宋体" w:hAnsi="宋体" w:cs="宋体"/>
          <w:b/>
          <w:sz w:val="24"/>
          <w:szCs w:val="24"/>
          <w:lang w:val="zh-CN"/>
        </w:rPr>
        <w:t>）</w:t>
      </w:r>
    </w:p>
    <w:p w14:paraId="15AB1E35">
      <w:pPr>
        <w:spacing w:line="440" w:lineRule="exact"/>
        <w:ind w:firstLine="480" w:firstLineChars="200"/>
        <w:rPr>
          <w:rFonts w:hint="eastAsia" w:ascii="宋体" w:hAnsi="宋体" w:cs="宋体"/>
          <w:bCs/>
          <w:sz w:val="24"/>
          <w:szCs w:val="24"/>
          <w:lang w:val="zh-CN"/>
        </w:rPr>
      </w:pPr>
      <w:r>
        <w:rPr>
          <w:rFonts w:hint="eastAsia" w:ascii="宋体" w:hAnsi="宋体" w:cs="宋体"/>
          <w:bCs/>
          <w:sz w:val="24"/>
          <w:szCs w:val="24"/>
        </w:rPr>
        <w:t>供应商能力评审项目分为技术T/品质Q/供应能力D/售后服务S四个分项，按表一内容及评审项目/评分标准进行评审，各分项总分均为1</w:t>
      </w:r>
      <w:r>
        <w:rPr>
          <w:rFonts w:ascii="宋体" w:hAnsi="宋体" w:cs="宋体"/>
          <w:bCs/>
          <w:sz w:val="24"/>
          <w:szCs w:val="24"/>
        </w:rPr>
        <w:t>00</w:t>
      </w:r>
      <w:r>
        <w:rPr>
          <w:rFonts w:hint="eastAsia" w:ascii="宋体" w:hAnsi="宋体" w:cs="宋体"/>
          <w:bCs/>
          <w:sz w:val="24"/>
          <w:szCs w:val="24"/>
        </w:rPr>
        <w:t>分，最终各分项按分配的分值权重计算汇总成为供应商能力评审综合得分。</w:t>
      </w:r>
    </w:p>
    <w:p w14:paraId="60B29811">
      <w:pPr>
        <w:spacing w:line="440" w:lineRule="exact"/>
        <w:ind w:firstLine="200"/>
        <w:rPr>
          <w:rFonts w:hint="eastAsia" w:ascii="宋体" w:hAnsi="宋体" w:cs="宋体"/>
          <w:bCs/>
          <w:sz w:val="24"/>
          <w:szCs w:val="24"/>
        </w:rPr>
      </w:pPr>
      <w:bookmarkStart w:id="10" w:name="OLE_LINK1"/>
      <w:r>
        <w:rPr>
          <w:rFonts w:hint="eastAsia" w:ascii="宋体" w:hAnsi="宋体" w:cs="宋体"/>
          <w:bCs/>
          <w:sz w:val="24"/>
          <w:szCs w:val="24"/>
          <w:lang w:val="zh-CN"/>
        </w:rPr>
        <w:t>详见附件</w:t>
      </w:r>
      <w:r>
        <w:rPr>
          <w:rFonts w:hint="eastAsia" w:ascii="宋体" w:hAnsi="宋体" w:cs="宋体"/>
          <w:bCs/>
          <w:sz w:val="24"/>
          <w:szCs w:val="24"/>
        </w:rPr>
        <w:t>见表一：</w:t>
      </w:r>
      <w:bookmarkEnd w:id="10"/>
      <w:r>
        <w:rPr>
          <w:rFonts w:hint="eastAsia" w:ascii="宋体" w:hAnsi="宋体"/>
          <w:bCs/>
          <w:sz w:val="24"/>
        </w:rPr>
        <w:t>供应商能力评审</w:t>
      </w:r>
      <w:r>
        <w:rPr>
          <w:rFonts w:hint="eastAsia" w:ascii="宋体" w:hAnsi="宋体" w:cs="宋体"/>
          <w:bCs/>
          <w:sz w:val="24"/>
          <w:szCs w:val="24"/>
        </w:rPr>
        <w:t>项目/评分标准</w:t>
      </w:r>
    </w:p>
    <w:p w14:paraId="1A9BEF6D">
      <w:pPr>
        <w:spacing w:line="440" w:lineRule="exact"/>
        <w:ind w:firstLine="482" w:firstLineChars="200"/>
        <w:rPr>
          <w:rFonts w:hint="eastAsia" w:ascii="宋体" w:hAnsi="宋体" w:cs="宋体"/>
          <w:b/>
          <w:color w:val="FF0000"/>
          <w:sz w:val="24"/>
          <w:szCs w:val="24"/>
        </w:rPr>
      </w:pPr>
      <w:r>
        <w:rPr>
          <w:rFonts w:hint="eastAsia" w:ascii="宋体" w:hAnsi="宋体" w:cs="宋体"/>
          <w:b/>
          <w:sz w:val="24"/>
          <w:szCs w:val="24"/>
        </w:rPr>
        <w:t>F1=T</w:t>
      </w:r>
      <w:r>
        <w:rPr>
          <w:rFonts w:hint="eastAsia" w:ascii="宋体" w:hAnsi="宋体" w:cs="宋体"/>
          <w:b/>
          <w:color w:val="FF0000"/>
          <w:sz w:val="24"/>
          <w:szCs w:val="24"/>
        </w:rPr>
        <w:t>*30%</w:t>
      </w:r>
      <w:r>
        <w:rPr>
          <w:rFonts w:hint="eastAsia" w:ascii="宋体" w:hAnsi="宋体" w:cs="宋体"/>
          <w:b/>
          <w:sz w:val="24"/>
          <w:szCs w:val="24"/>
        </w:rPr>
        <w:t>+Q</w:t>
      </w:r>
      <w:r>
        <w:rPr>
          <w:rFonts w:hint="eastAsia" w:ascii="宋体" w:hAnsi="宋体" w:cs="宋体"/>
          <w:b/>
          <w:color w:val="FF0000"/>
          <w:sz w:val="24"/>
          <w:szCs w:val="24"/>
        </w:rPr>
        <w:t>*</w:t>
      </w:r>
      <w:r>
        <w:rPr>
          <w:rFonts w:ascii="宋体" w:hAnsi="宋体" w:cs="宋体"/>
          <w:b/>
          <w:color w:val="FF0000"/>
          <w:sz w:val="24"/>
          <w:szCs w:val="24"/>
        </w:rPr>
        <w:t>3</w:t>
      </w:r>
      <w:r>
        <w:rPr>
          <w:rFonts w:hint="eastAsia" w:ascii="宋体" w:hAnsi="宋体" w:cs="宋体"/>
          <w:b/>
          <w:color w:val="FF0000"/>
          <w:sz w:val="24"/>
          <w:szCs w:val="24"/>
        </w:rPr>
        <w:t>5%</w:t>
      </w:r>
      <w:r>
        <w:rPr>
          <w:rFonts w:hint="eastAsia" w:ascii="宋体" w:hAnsi="宋体" w:cs="宋体"/>
          <w:b/>
          <w:sz w:val="24"/>
          <w:szCs w:val="24"/>
        </w:rPr>
        <w:t>+D</w:t>
      </w:r>
      <w:r>
        <w:rPr>
          <w:rFonts w:hint="eastAsia" w:ascii="宋体" w:hAnsi="宋体" w:cs="宋体"/>
          <w:b/>
          <w:color w:val="FF0000"/>
          <w:sz w:val="24"/>
          <w:szCs w:val="24"/>
        </w:rPr>
        <w:t>*</w:t>
      </w:r>
      <w:r>
        <w:rPr>
          <w:rFonts w:ascii="宋体" w:hAnsi="宋体" w:cs="宋体"/>
          <w:b/>
          <w:color w:val="FF0000"/>
          <w:sz w:val="24"/>
          <w:szCs w:val="24"/>
        </w:rPr>
        <w:t>20</w:t>
      </w:r>
      <w:r>
        <w:rPr>
          <w:rFonts w:hint="eastAsia" w:ascii="宋体" w:hAnsi="宋体" w:cs="宋体"/>
          <w:b/>
          <w:color w:val="FF0000"/>
          <w:sz w:val="24"/>
          <w:szCs w:val="24"/>
        </w:rPr>
        <w:t>%</w:t>
      </w:r>
      <w:r>
        <w:rPr>
          <w:rFonts w:hint="eastAsia" w:ascii="宋体" w:hAnsi="宋体" w:cs="宋体"/>
          <w:b/>
          <w:sz w:val="24"/>
          <w:szCs w:val="24"/>
        </w:rPr>
        <w:t>+S</w:t>
      </w:r>
      <w:r>
        <w:rPr>
          <w:rFonts w:hint="eastAsia" w:ascii="宋体" w:hAnsi="宋体" w:cs="宋体"/>
          <w:b/>
          <w:color w:val="FF0000"/>
          <w:sz w:val="24"/>
          <w:szCs w:val="24"/>
        </w:rPr>
        <w:t xml:space="preserve">*15% </w:t>
      </w:r>
    </w:p>
    <w:p w14:paraId="2D175037">
      <w:pPr>
        <w:numPr>
          <w:ilvl w:val="0"/>
          <w:numId w:val="3"/>
        </w:numPr>
        <w:spacing w:before="156" w:beforeLines="50" w:after="156" w:afterLines="50" w:line="440" w:lineRule="exact"/>
        <w:outlineLvl w:val="2"/>
        <w:rPr>
          <w:rFonts w:hint="eastAsia" w:ascii="宋体" w:hAnsi="宋体" w:cs="宋体"/>
          <w:b/>
          <w:sz w:val="24"/>
          <w:szCs w:val="24"/>
          <w:lang w:val="zh-CN"/>
        </w:rPr>
      </w:pPr>
      <w:r>
        <w:rPr>
          <w:rFonts w:hint="eastAsia" w:ascii="宋体" w:hAnsi="宋体" w:cs="宋体"/>
          <w:b/>
          <w:sz w:val="24"/>
          <w:szCs w:val="20"/>
        </w:rPr>
        <w:t>商务价格</w:t>
      </w:r>
      <w:r>
        <w:rPr>
          <w:rFonts w:hint="eastAsia" w:ascii="宋体" w:hAnsi="宋体" w:cs="宋体"/>
          <w:b/>
          <w:sz w:val="24"/>
          <w:szCs w:val="20"/>
          <w:lang w:val="zh-CN"/>
        </w:rPr>
        <w:t>维度F</w:t>
      </w:r>
      <w:r>
        <w:rPr>
          <w:rFonts w:hint="eastAsia" w:ascii="宋体" w:hAnsi="宋体" w:cs="宋体"/>
          <w:b/>
          <w:sz w:val="24"/>
          <w:szCs w:val="20"/>
        </w:rPr>
        <w:t>2</w:t>
      </w:r>
      <w:r>
        <w:rPr>
          <w:rFonts w:hint="eastAsia" w:ascii="宋体" w:hAnsi="宋体" w:cs="宋体"/>
          <w:b/>
          <w:sz w:val="24"/>
          <w:szCs w:val="20"/>
          <w:lang w:val="zh-CN"/>
        </w:rPr>
        <w:t>（满分</w:t>
      </w:r>
      <w:r>
        <w:rPr>
          <w:rFonts w:hint="eastAsia" w:ascii="宋体" w:hAnsi="宋体" w:cs="宋体"/>
          <w:b/>
          <w:sz w:val="24"/>
          <w:szCs w:val="20"/>
        </w:rPr>
        <w:t>100分，</w:t>
      </w:r>
      <w:r>
        <w:rPr>
          <w:rFonts w:hint="eastAsia" w:ascii="宋体" w:hAnsi="宋体" w:cs="宋体"/>
          <w:b/>
          <w:sz w:val="24"/>
          <w:szCs w:val="24"/>
        </w:rPr>
        <w:t>综合评审分配分值权重</w:t>
      </w:r>
      <w:r>
        <w:rPr>
          <w:rFonts w:hint="eastAsia" w:ascii="宋体" w:hAnsi="宋体" w:cs="宋体"/>
          <w:b/>
          <w:color w:val="FF0000"/>
          <w:sz w:val="24"/>
          <w:szCs w:val="24"/>
        </w:rPr>
        <w:t>50%</w:t>
      </w:r>
      <w:r>
        <w:rPr>
          <w:rFonts w:hint="eastAsia" w:ascii="宋体" w:hAnsi="宋体" w:cs="宋体"/>
          <w:b/>
          <w:sz w:val="24"/>
          <w:szCs w:val="20"/>
        </w:rPr>
        <w:t>）</w:t>
      </w:r>
    </w:p>
    <w:p w14:paraId="4BA8E987">
      <w:pPr>
        <w:spacing w:line="440" w:lineRule="exact"/>
        <w:rPr>
          <w:rFonts w:hint="eastAsia" w:ascii="宋体" w:hAnsi="宋体" w:cs="宋体"/>
          <w:bCs/>
          <w:sz w:val="24"/>
          <w:szCs w:val="24"/>
        </w:rPr>
      </w:pPr>
      <w:r>
        <w:rPr>
          <w:rFonts w:hint="eastAsia" w:ascii="宋体" w:hAnsi="宋体" w:cs="宋体"/>
          <w:bCs/>
          <w:sz w:val="24"/>
          <w:szCs w:val="24"/>
          <w:lang w:val="zh-CN"/>
        </w:rPr>
        <w:t>详见附件</w:t>
      </w:r>
      <w:r>
        <w:rPr>
          <w:rFonts w:hint="eastAsia" w:ascii="宋体" w:hAnsi="宋体" w:cs="宋体"/>
          <w:bCs/>
          <w:sz w:val="24"/>
          <w:szCs w:val="24"/>
        </w:rPr>
        <w:t>见表二：供应商商务价格评审项目/评分标准</w:t>
      </w:r>
    </w:p>
    <w:p w14:paraId="2F0AD59D">
      <w:pPr>
        <w:spacing w:line="440" w:lineRule="exact"/>
        <w:ind w:firstLine="482" w:firstLineChars="200"/>
        <w:rPr>
          <w:rFonts w:hint="eastAsia" w:ascii="宋体" w:hAnsi="宋体" w:cs="宋体"/>
          <w:b/>
          <w:color w:val="FF0000"/>
          <w:sz w:val="24"/>
          <w:szCs w:val="24"/>
        </w:rPr>
      </w:pPr>
      <w:r>
        <w:rPr>
          <w:rFonts w:hint="eastAsia" w:ascii="宋体" w:hAnsi="宋体" w:cs="宋体"/>
          <w:b/>
          <w:color w:val="FF0000"/>
          <w:sz w:val="24"/>
          <w:szCs w:val="24"/>
        </w:rPr>
        <w:t>比值法</w:t>
      </w:r>
    </w:p>
    <w:p w14:paraId="165A57E0">
      <w:pPr>
        <w:numPr>
          <w:ilvl w:val="0"/>
          <w:numId w:val="3"/>
        </w:numPr>
        <w:spacing w:after="156" w:afterLines="50" w:line="440" w:lineRule="exact"/>
        <w:outlineLvl w:val="2"/>
        <w:rPr>
          <w:rFonts w:hint="eastAsia" w:ascii="宋体" w:hAnsi="宋体" w:cs="宋体"/>
          <w:b/>
          <w:sz w:val="24"/>
          <w:szCs w:val="24"/>
          <w:lang w:val="zh-CN"/>
        </w:rPr>
      </w:pPr>
      <w:r>
        <w:rPr>
          <w:rFonts w:hint="eastAsia" w:ascii="宋体" w:hAnsi="宋体" w:cs="宋体"/>
          <w:b/>
          <w:sz w:val="24"/>
          <w:lang w:val="zh-CN"/>
        </w:rPr>
        <w:t>评审</w:t>
      </w:r>
      <w:r>
        <w:rPr>
          <w:rFonts w:hint="eastAsia" w:ascii="宋体" w:hAnsi="宋体" w:cs="宋体"/>
          <w:b/>
          <w:sz w:val="24"/>
        </w:rPr>
        <w:t>综合</w:t>
      </w:r>
      <w:r>
        <w:rPr>
          <w:rFonts w:hint="eastAsia" w:ascii="宋体" w:hAnsi="宋体" w:cs="宋体"/>
          <w:b/>
          <w:sz w:val="24"/>
          <w:lang w:val="zh-CN"/>
        </w:rPr>
        <w:t>得分汇总</w:t>
      </w:r>
    </w:p>
    <w:p w14:paraId="00C8FBD9">
      <w:pPr>
        <w:tabs>
          <w:tab w:val="left" w:pos="0"/>
        </w:tabs>
        <w:spacing w:line="440" w:lineRule="exact"/>
        <w:ind w:firstLine="460" w:firstLineChars="192"/>
        <w:rPr>
          <w:rFonts w:hint="eastAsia" w:ascii="宋体" w:hAnsi="宋体"/>
          <w:kern w:val="0"/>
          <w:sz w:val="24"/>
        </w:rPr>
      </w:pPr>
      <w:r>
        <w:rPr>
          <w:rFonts w:hint="eastAsia" w:ascii="宋体" w:hAnsi="宋体"/>
          <w:kern w:val="0"/>
          <w:sz w:val="24"/>
        </w:rPr>
        <w:t>各部分评分分值分布及评分标准如下:</w:t>
      </w:r>
    </w:p>
    <w:p w14:paraId="3E8AB2B6">
      <w:pPr>
        <w:tabs>
          <w:tab w:val="left" w:pos="0"/>
        </w:tabs>
        <w:spacing w:line="440" w:lineRule="exact"/>
        <w:ind w:firstLine="460" w:firstLineChars="192"/>
        <w:rPr>
          <w:rFonts w:hint="eastAsia" w:ascii="宋体" w:hAnsi="宋体"/>
          <w:kern w:val="0"/>
          <w:sz w:val="24"/>
        </w:rPr>
      </w:pPr>
      <w:r>
        <w:rPr>
          <w:rFonts w:hint="eastAsia" w:ascii="宋体" w:hAnsi="宋体"/>
          <w:kern w:val="0"/>
          <w:sz w:val="24"/>
        </w:rPr>
        <w:t>对各评审评委的供应商能力部分、商务价格部分评分结果进行统计，</w:t>
      </w:r>
      <w:r>
        <w:rPr>
          <w:rFonts w:hint="eastAsia" w:ascii="宋体" w:hAnsi="宋体" w:cs="宋体"/>
          <w:bCs/>
          <w:sz w:val="24"/>
          <w:szCs w:val="24"/>
        </w:rPr>
        <w:t>按分配的分值权重</w:t>
      </w:r>
      <w:r>
        <w:rPr>
          <w:rFonts w:hint="eastAsia" w:ascii="宋体" w:hAnsi="宋体"/>
          <w:kern w:val="0"/>
          <w:sz w:val="24"/>
        </w:rPr>
        <w:t>计算</w:t>
      </w:r>
      <w:r>
        <w:rPr>
          <w:rFonts w:hint="eastAsia" w:ascii="宋体" w:hAnsi="宋体" w:cs="宋体"/>
          <w:bCs/>
          <w:sz w:val="24"/>
          <w:szCs w:val="24"/>
        </w:rPr>
        <w:t>汇总</w:t>
      </w:r>
      <w:r>
        <w:rPr>
          <w:rFonts w:hint="eastAsia" w:ascii="宋体" w:hAnsi="宋体"/>
          <w:kern w:val="0"/>
          <w:sz w:val="24"/>
        </w:rPr>
        <w:t>出最终评审综合得分，各项分数均保留至小数点后2位数（第3位四舍五入）。</w:t>
      </w:r>
    </w:p>
    <w:p w14:paraId="5E4D3566">
      <w:pPr>
        <w:tabs>
          <w:tab w:val="left" w:pos="0"/>
        </w:tabs>
        <w:spacing w:line="440" w:lineRule="exact"/>
        <w:ind w:firstLine="463" w:firstLineChars="192"/>
        <w:rPr>
          <w:rFonts w:hint="eastAsia" w:ascii="宋体" w:hAnsi="宋体" w:cs="宋体"/>
          <w:b/>
          <w:sz w:val="24"/>
          <w:szCs w:val="20"/>
        </w:rPr>
      </w:pPr>
      <w:r>
        <w:rPr>
          <w:rFonts w:hint="eastAsia" w:ascii="宋体" w:hAnsi="宋体"/>
          <w:b/>
          <w:sz w:val="24"/>
        </w:rPr>
        <w:t>综合得分＝F1*</w:t>
      </w:r>
      <w:r>
        <w:rPr>
          <w:rFonts w:hint="eastAsia" w:ascii="宋体" w:hAnsi="宋体"/>
          <w:b/>
          <w:color w:val="FF0000"/>
          <w:sz w:val="24"/>
        </w:rPr>
        <w:t>50%</w:t>
      </w:r>
      <w:r>
        <w:rPr>
          <w:rFonts w:hint="eastAsia" w:ascii="宋体" w:hAnsi="宋体"/>
          <w:b/>
          <w:sz w:val="24"/>
        </w:rPr>
        <w:t>+ F2*</w:t>
      </w:r>
      <w:r>
        <w:rPr>
          <w:rFonts w:hint="eastAsia" w:ascii="宋体" w:hAnsi="宋体"/>
          <w:b/>
          <w:color w:val="FF0000"/>
          <w:sz w:val="24"/>
        </w:rPr>
        <w:t xml:space="preserve">50% </w:t>
      </w:r>
    </w:p>
    <w:p w14:paraId="795C0505">
      <w:pPr>
        <w:numPr>
          <w:ilvl w:val="0"/>
          <w:numId w:val="3"/>
        </w:numPr>
        <w:spacing w:before="156" w:beforeLines="50" w:after="156" w:afterLines="50" w:line="440" w:lineRule="exact"/>
        <w:outlineLvl w:val="2"/>
        <w:rPr>
          <w:rFonts w:hint="eastAsia" w:ascii="宋体" w:hAnsi="宋体" w:cs="宋体"/>
          <w:b/>
          <w:sz w:val="24"/>
          <w:szCs w:val="24"/>
          <w:lang w:val="zh-CN"/>
        </w:rPr>
      </w:pPr>
      <w:r>
        <w:rPr>
          <w:rFonts w:ascii="宋体" w:hAnsi="宋体" w:cs="宋体"/>
          <w:b/>
          <w:sz w:val="24"/>
          <w:lang w:val="zh-CN"/>
        </w:rPr>
        <w:t>推荐</w:t>
      </w:r>
      <w:r>
        <w:rPr>
          <w:rFonts w:hint="eastAsia" w:ascii="宋体" w:hAnsi="宋体" w:cs="宋体"/>
          <w:b/>
          <w:sz w:val="24"/>
          <w:lang w:val="zh-CN"/>
        </w:rPr>
        <w:t>中标候选人</w:t>
      </w:r>
      <w:r>
        <w:rPr>
          <w:rFonts w:ascii="宋体" w:hAnsi="宋体" w:cs="宋体"/>
          <w:b/>
          <w:sz w:val="24"/>
          <w:lang w:val="zh-CN"/>
        </w:rPr>
        <w:t>名单</w:t>
      </w:r>
    </w:p>
    <w:p w14:paraId="5A3981CF">
      <w:pPr>
        <w:spacing w:line="440" w:lineRule="exact"/>
        <w:ind w:firstLine="475" w:firstLineChars="198"/>
        <w:rPr>
          <w:rFonts w:hint="eastAsia" w:ascii="宋体" w:hAnsi="宋体" w:cs="宋体"/>
          <w:b/>
          <w:sz w:val="24"/>
          <w:lang w:val="zh-CN"/>
        </w:rPr>
      </w:pPr>
      <w:r>
        <w:rPr>
          <w:rFonts w:ascii="宋体" w:hAnsi="宋体" w:cs="宋体"/>
          <w:sz w:val="24"/>
        </w:rPr>
        <w:t>1、</w:t>
      </w:r>
      <w:r>
        <w:rPr>
          <w:rFonts w:hint="eastAsia" w:ascii="宋体" w:hAnsi="宋体" w:cs="宋体"/>
          <w:sz w:val="24"/>
        </w:rPr>
        <w:t>项目或各标段的中标候选人</w:t>
      </w:r>
      <w:r>
        <w:rPr>
          <w:rFonts w:ascii="宋体" w:hAnsi="宋体" w:cs="宋体"/>
          <w:sz w:val="24"/>
        </w:rPr>
        <w:t>数量：</w:t>
      </w:r>
      <w:r>
        <w:rPr>
          <w:rFonts w:ascii="宋体" w:hAnsi="宋体" w:cs="宋体"/>
          <w:b/>
          <w:sz w:val="24"/>
          <w:u w:val="single"/>
        </w:rPr>
        <w:t xml:space="preserve"> </w:t>
      </w:r>
      <w:r>
        <w:rPr>
          <w:rFonts w:hint="eastAsia" w:ascii="宋体" w:hAnsi="宋体" w:cs="宋体"/>
          <w:b/>
          <w:sz w:val="24"/>
          <w:u w:val="single"/>
        </w:rPr>
        <w:t xml:space="preserve"> </w:t>
      </w:r>
      <w:r>
        <w:rPr>
          <w:rFonts w:hint="eastAsia" w:ascii="宋体" w:hAnsi="宋体" w:cs="宋体"/>
          <w:b/>
          <w:color w:val="0000FF"/>
          <w:sz w:val="24"/>
          <w:u w:val="single"/>
        </w:rPr>
        <w:t xml:space="preserve">3 </w:t>
      </w:r>
      <w:r>
        <w:rPr>
          <w:rFonts w:ascii="宋体" w:hAnsi="宋体" w:cs="宋体"/>
          <w:b/>
          <w:sz w:val="24"/>
          <w:u w:val="single"/>
        </w:rPr>
        <w:t xml:space="preserve"> </w:t>
      </w:r>
      <w:r>
        <w:rPr>
          <w:rFonts w:ascii="宋体" w:hAnsi="宋体" w:cs="宋体"/>
          <w:sz w:val="24"/>
        </w:rPr>
        <w:t>个。</w:t>
      </w:r>
    </w:p>
    <w:p w14:paraId="6B35B8BD">
      <w:pPr>
        <w:spacing w:line="440" w:lineRule="exact"/>
        <w:ind w:firstLine="504" w:firstLineChars="210"/>
        <w:rPr>
          <w:rFonts w:hint="eastAsia" w:ascii="宋体" w:hAnsi="宋体" w:cs="宋体"/>
          <w:bCs/>
          <w:sz w:val="24"/>
        </w:rPr>
      </w:pPr>
      <w:r>
        <w:rPr>
          <w:rFonts w:ascii="宋体" w:hAnsi="宋体" w:cs="宋体"/>
          <w:sz w:val="24"/>
        </w:rPr>
        <w:t>2、</w:t>
      </w:r>
      <w:r>
        <w:rPr>
          <w:rFonts w:hint="eastAsia" w:ascii="宋体" w:hAnsi="宋体" w:cs="宋体"/>
          <w:sz w:val="24"/>
        </w:rPr>
        <w:t>中标候选人</w:t>
      </w:r>
      <w:r>
        <w:rPr>
          <w:rFonts w:ascii="宋体" w:hAnsi="宋体" w:cs="宋体"/>
          <w:sz w:val="24"/>
        </w:rPr>
        <w:t>排列顺序。经投标文件</w:t>
      </w:r>
      <w:r>
        <w:rPr>
          <w:rFonts w:hint="eastAsia" w:ascii="宋体" w:hAnsi="宋体"/>
          <w:sz w:val="24"/>
        </w:rPr>
        <w:t>资格审核</w:t>
      </w:r>
      <w:r>
        <w:rPr>
          <w:rFonts w:ascii="宋体" w:hAnsi="宋体" w:cs="宋体"/>
          <w:sz w:val="24"/>
        </w:rPr>
        <w:t>、澄清有关问题、比较与</w:t>
      </w:r>
      <w:r>
        <w:rPr>
          <w:rFonts w:hint="eastAsia" w:ascii="宋体" w:hAnsi="宋体" w:cs="宋体"/>
          <w:sz w:val="24"/>
        </w:rPr>
        <w:t>评审</w:t>
      </w:r>
      <w:r>
        <w:rPr>
          <w:rFonts w:ascii="宋体" w:hAnsi="宋体" w:cs="宋体"/>
          <w:sz w:val="24"/>
        </w:rPr>
        <w:t>评标程序后，按以下办法推荐</w:t>
      </w:r>
      <w:r>
        <w:rPr>
          <w:rFonts w:hint="eastAsia" w:ascii="宋体" w:hAnsi="宋体" w:cs="宋体"/>
          <w:sz w:val="24"/>
        </w:rPr>
        <w:t>中标候选人</w:t>
      </w:r>
      <w:r>
        <w:rPr>
          <w:rFonts w:ascii="宋体" w:hAnsi="宋体" w:cs="宋体"/>
          <w:sz w:val="24"/>
        </w:rPr>
        <w:t>名单的排列顺序</w:t>
      </w:r>
      <w:r>
        <w:rPr>
          <w:rFonts w:ascii="宋体" w:hAnsi="宋体" w:cs="宋体"/>
          <w:bCs/>
          <w:sz w:val="24"/>
        </w:rPr>
        <w:t>，按评审后综合得分由高到低顺序排列</w:t>
      </w:r>
      <w:r>
        <w:rPr>
          <w:rFonts w:hint="eastAsia" w:ascii="宋体" w:hAnsi="宋体" w:cs="宋体"/>
          <w:bCs/>
          <w:sz w:val="24"/>
        </w:rPr>
        <w:t>；综合</w:t>
      </w:r>
      <w:r>
        <w:rPr>
          <w:rFonts w:ascii="宋体" w:hAnsi="宋体" w:cs="宋体"/>
          <w:bCs/>
          <w:sz w:val="24"/>
        </w:rPr>
        <w:t>得分相同的，按</w:t>
      </w:r>
      <w:r>
        <w:rPr>
          <w:rFonts w:hint="eastAsia" w:ascii="宋体" w:hAnsi="宋体" w:cs="宋体"/>
          <w:bCs/>
          <w:sz w:val="24"/>
        </w:rPr>
        <w:t>商务报价分项</w:t>
      </w:r>
      <w:r>
        <w:rPr>
          <w:rFonts w:ascii="宋体" w:hAnsi="宋体" w:cs="宋体"/>
          <w:bCs/>
          <w:sz w:val="24"/>
        </w:rPr>
        <w:t>由低到高顺序排列</w:t>
      </w:r>
      <w:r>
        <w:rPr>
          <w:rFonts w:hint="eastAsia" w:ascii="宋体" w:hAnsi="宋体" w:cs="宋体"/>
          <w:bCs/>
          <w:sz w:val="24"/>
        </w:rPr>
        <w:t>；综合</w:t>
      </w:r>
      <w:r>
        <w:rPr>
          <w:rFonts w:ascii="宋体" w:hAnsi="宋体" w:cs="宋体"/>
          <w:bCs/>
          <w:sz w:val="24"/>
        </w:rPr>
        <w:t>得分且</w:t>
      </w:r>
      <w:r>
        <w:rPr>
          <w:rFonts w:hint="eastAsia" w:ascii="宋体" w:hAnsi="宋体" w:cs="宋体"/>
          <w:bCs/>
          <w:sz w:val="24"/>
        </w:rPr>
        <w:t>商务</w:t>
      </w:r>
      <w:r>
        <w:rPr>
          <w:rFonts w:ascii="宋体" w:hAnsi="宋体" w:cs="宋体"/>
          <w:bCs/>
          <w:sz w:val="24"/>
        </w:rPr>
        <w:t>报价相同的，按</w:t>
      </w:r>
      <w:r>
        <w:rPr>
          <w:rFonts w:hint="eastAsia" w:ascii="宋体" w:hAnsi="宋体" w:cs="宋体"/>
          <w:bCs/>
          <w:sz w:val="24"/>
        </w:rPr>
        <w:t>供应商在投标时的注册资本（若有入围预审的，以入围审核</w:t>
      </w:r>
      <w:r>
        <w:rPr>
          <w:rFonts w:ascii="宋体" w:hAnsi="宋体" w:cs="宋体"/>
          <w:bCs/>
          <w:sz w:val="24"/>
        </w:rPr>
        <w:t>得分</w:t>
      </w:r>
      <w:r>
        <w:rPr>
          <w:rFonts w:hint="eastAsia" w:ascii="宋体" w:hAnsi="宋体" w:cs="宋体"/>
          <w:bCs/>
          <w:sz w:val="24"/>
        </w:rPr>
        <w:t>）</w:t>
      </w:r>
      <w:r>
        <w:rPr>
          <w:rFonts w:ascii="宋体" w:hAnsi="宋体" w:cs="宋体"/>
          <w:bCs/>
          <w:sz w:val="24"/>
        </w:rPr>
        <w:t>由高到低顺序排列</w:t>
      </w:r>
      <w:r>
        <w:rPr>
          <w:rFonts w:hint="eastAsia" w:ascii="宋体" w:hAnsi="宋体" w:cs="宋体"/>
          <w:bCs/>
          <w:sz w:val="24"/>
        </w:rPr>
        <w:t>。</w:t>
      </w:r>
    </w:p>
    <w:p w14:paraId="104DDDE3">
      <w:pPr>
        <w:pStyle w:val="14"/>
        <w:numPr>
          <w:ilvl w:val="0"/>
          <w:numId w:val="1"/>
        </w:numPr>
        <w:spacing w:before="156" w:beforeLines="50" w:line="360" w:lineRule="auto"/>
        <w:ind w:left="442" w:hanging="442" w:firstLineChars="0"/>
        <w:outlineLvl w:val="1"/>
        <w:rPr>
          <w:rFonts w:hint="eastAsia" w:ascii="宋体" w:hAnsi="宋体"/>
          <w:b/>
          <w:sz w:val="28"/>
          <w:szCs w:val="28"/>
          <w:lang w:val="zh-CN"/>
        </w:rPr>
      </w:pPr>
      <w:r>
        <w:rPr>
          <w:rFonts w:ascii="宋体" w:hAnsi="宋体"/>
          <w:b/>
          <w:sz w:val="28"/>
          <w:szCs w:val="28"/>
          <w:lang w:val="zh-CN"/>
        </w:rPr>
        <w:t>定标原则</w:t>
      </w:r>
    </w:p>
    <w:p w14:paraId="06FD2300">
      <w:pPr>
        <w:spacing w:line="560" w:lineRule="exact"/>
        <w:rPr>
          <w:rFonts w:hint="eastAsia" w:ascii="宋体" w:hAnsi="宋体"/>
          <w:b/>
          <w:sz w:val="28"/>
          <w:szCs w:val="28"/>
          <w:lang w:val="zh-CN"/>
        </w:rPr>
      </w:pPr>
      <w:r>
        <w:rPr>
          <w:rFonts w:ascii="宋体" w:hAnsi="宋体"/>
          <w:b/>
          <w:sz w:val="28"/>
          <w:szCs w:val="28"/>
          <w:lang w:val="zh-CN"/>
        </w:rPr>
        <w:t>确定中标供应商数量：</w:t>
      </w:r>
      <w:r>
        <w:rPr>
          <w:rFonts w:ascii="宋体" w:hAnsi="宋体"/>
          <w:b/>
          <w:sz w:val="28"/>
          <w:szCs w:val="28"/>
          <w:u w:val="single"/>
          <w:lang w:val="zh-CN"/>
        </w:rPr>
        <w:t xml:space="preserve"> </w:t>
      </w:r>
      <w:r>
        <w:rPr>
          <w:rFonts w:ascii="宋体" w:hAnsi="宋体"/>
          <w:b/>
          <w:color w:val="FF0000"/>
          <w:sz w:val="28"/>
          <w:szCs w:val="28"/>
          <w:u w:val="single"/>
        </w:rPr>
        <w:t>1-2</w:t>
      </w:r>
      <w:r>
        <w:rPr>
          <w:rFonts w:ascii="宋体" w:hAnsi="宋体"/>
          <w:b/>
          <w:sz w:val="28"/>
          <w:szCs w:val="28"/>
          <w:u w:val="single"/>
          <w:lang w:val="zh-CN"/>
        </w:rPr>
        <w:t xml:space="preserve"> </w:t>
      </w:r>
      <w:r>
        <w:rPr>
          <w:rFonts w:ascii="宋体" w:hAnsi="宋体"/>
          <w:b/>
          <w:sz w:val="28"/>
          <w:szCs w:val="28"/>
          <w:lang w:val="zh-CN"/>
        </w:rPr>
        <w:t>个</w:t>
      </w:r>
      <w:r>
        <w:rPr>
          <w:rFonts w:hint="eastAsia" w:ascii="宋体" w:hAnsi="宋体"/>
          <w:b/>
          <w:sz w:val="28"/>
          <w:szCs w:val="28"/>
          <w:lang w:val="zh-CN"/>
        </w:rPr>
        <w:t>，分别为第一中标人，第二中标人（备选中标人）</w:t>
      </w:r>
      <w:r>
        <w:rPr>
          <w:rFonts w:ascii="宋体" w:hAnsi="宋体"/>
          <w:b/>
          <w:sz w:val="28"/>
          <w:szCs w:val="28"/>
          <w:lang w:val="zh-CN"/>
        </w:rPr>
        <w:t>。</w:t>
      </w:r>
    </w:p>
    <w:p w14:paraId="5ED0C0EE">
      <w:pPr>
        <w:pStyle w:val="14"/>
        <w:numPr>
          <w:ilvl w:val="1"/>
          <w:numId w:val="2"/>
        </w:numPr>
        <w:spacing w:line="440" w:lineRule="exact"/>
        <w:ind w:left="0" w:firstLine="480"/>
      </w:pPr>
      <w:r>
        <w:rPr>
          <w:rFonts w:hint="eastAsia"/>
        </w:rPr>
        <w:t>招标方根据评标报告向需求公司提报评标评审结果以及招标应用方案，经需求公司审批后确定最终中标人。定标的最终解释权和自主权归属为招标方需求公司。</w:t>
      </w:r>
    </w:p>
    <w:p w14:paraId="25F74675">
      <w:pPr>
        <w:pStyle w:val="14"/>
        <w:numPr>
          <w:ilvl w:val="1"/>
          <w:numId w:val="2"/>
        </w:numPr>
        <w:spacing w:line="440" w:lineRule="exact"/>
        <w:ind w:left="0" w:firstLine="480"/>
      </w:pPr>
      <w:r>
        <w:rPr>
          <w:rFonts w:hint="eastAsia"/>
        </w:rPr>
        <w:t>如有必要，招标方可自主决定到中标候选人处进行现场确认，根据招标文件要求进行实地评审和确认，投标方应予以配合；对存在投标方实际情况与所投标文件不一致的情况，招标方有权中止招标程序及中标人相应合同，执行启用备选中标人或重新招标。</w:t>
      </w:r>
    </w:p>
    <w:p w14:paraId="4D7F44FD">
      <w:pPr>
        <w:pStyle w:val="14"/>
        <w:numPr>
          <w:ilvl w:val="1"/>
          <w:numId w:val="2"/>
        </w:numPr>
        <w:spacing w:line="440" w:lineRule="exact"/>
        <w:ind w:left="0" w:firstLine="480"/>
      </w:pPr>
      <w:r>
        <w:rPr>
          <w:rFonts w:hint="eastAsia" w:hAnsi="宋体"/>
        </w:rPr>
        <w:t>在中标人无法通过现场审核或无法正常签订及履行合同的情况下，采购人有权依照中标候选人名单排序顺延其他中标候选人作为中标人或者重新组织招标</w:t>
      </w:r>
      <w:r>
        <w:rPr>
          <w:rFonts w:hint="eastAsia" w:ascii="宋体" w:hAnsi="宋体" w:cs="宋体"/>
        </w:rPr>
        <w:t>。</w:t>
      </w:r>
    </w:p>
    <w:p w14:paraId="7502A868">
      <w:pPr>
        <w:spacing w:line="440" w:lineRule="exact"/>
        <w:ind w:firstLine="482" w:firstLineChars="200"/>
        <w:rPr>
          <w:b/>
          <w:bCs/>
          <w:sz w:val="24"/>
          <w:szCs w:val="24"/>
        </w:rPr>
      </w:pPr>
      <w:r>
        <w:rPr>
          <w:b/>
          <w:bCs/>
          <w:sz w:val="24"/>
          <w:szCs w:val="24"/>
        </w:rPr>
        <w:t>投标人参与本项目的投标，即视为同意上述</w:t>
      </w:r>
      <w:r>
        <w:rPr>
          <w:rFonts w:hint="eastAsia"/>
          <w:b/>
          <w:bCs/>
          <w:sz w:val="24"/>
          <w:szCs w:val="24"/>
        </w:rPr>
        <w:t>定标方式。</w:t>
      </w:r>
    </w:p>
    <w:p w14:paraId="6C2932DF">
      <w:pPr>
        <w:pStyle w:val="14"/>
        <w:numPr>
          <w:ilvl w:val="0"/>
          <w:numId w:val="1"/>
        </w:numPr>
        <w:spacing w:line="360" w:lineRule="auto"/>
        <w:ind w:left="442" w:hanging="442" w:firstLineChars="0"/>
        <w:outlineLvl w:val="1"/>
        <w:rPr>
          <w:rFonts w:hint="eastAsia" w:ascii="宋体" w:hAnsi="宋体"/>
          <w:b/>
          <w:sz w:val="28"/>
          <w:szCs w:val="28"/>
          <w:lang w:val="zh-CN"/>
        </w:rPr>
      </w:pPr>
      <w:r>
        <w:rPr>
          <w:rFonts w:hint="eastAsia" w:ascii="宋体" w:hAnsi="宋体"/>
          <w:b/>
          <w:sz w:val="28"/>
          <w:szCs w:val="28"/>
          <w:lang w:val="zh-CN"/>
        </w:rPr>
        <w:t>评审相关及追责</w:t>
      </w:r>
    </w:p>
    <w:p w14:paraId="3380866F">
      <w:pPr>
        <w:pStyle w:val="14"/>
        <w:numPr>
          <w:ilvl w:val="0"/>
          <w:numId w:val="4"/>
        </w:numPr>
        <w:spacing w:line="440" w:lineRule="exact"/>
        <w:ind w:left="0" w:firstLine="480"/>
        <w:rPr>
          <w:rFonts w:hint="eastAsia"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评审小组各专家按照依法、客观、公正、审慎的原则，根据招标文件及综合评审法方案所规定的评标项目、评标方法和评标标准进行独立评标；不得自主改变或解释招标规则、自行编制评标标准和方法进行评审。不得私下接触投标人，不得接受任何单位或者个人明示或者暗示提出的倾向或者排斥特定投标人的要求；不得有其他不客观、不公正履行职务的行为。</w:t>
      </w:r>
    </w:p>
    <w:p w14:paraId="6F1E477A">
      <w:pPr>
        <w:pStyle w:val="14"/>
        <w:numPr>
          <w:ilvl w:val="0"/>
          <w:numId w:val="4"/>
        </w:numPr>
        <w:spacing w:line="440" w:lineRule="exact"/>
        <w:ind w:left="0" w:firstLine="480"/>
        <w:rPr>
          <w:rFonts w:hint="eastAsia"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招标中心可对评审专家的评审数据进行校对、核对，对明显不合实际的畸高、畸低的重大差异评分，可以要求相应的评审专家进行书面说明理由，并提请招标中心复核及采购决策专委会审批，必要时申请原评审小组进行重新评审。</w:t>
      </w:r>
    </w:p>
    <w:p w14:paraId="5FEDFFAD">
      <w:pPr>
        <w:pStyle w:val="14"/>
        <w:numPr>
          <w:ilvl w:val="0"/>
          <w:numId w:val="4"/>
        </w:numPr>
        <w:spacing w:line="440" w:lineRule="exact"/>
        <w:ind w:left="0" w:firstLine="480"/>
        <w:rPr>
          <w:rFonts w:hint="eastAsia"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标后履约管理由招标需求部门或相应采购部门负责；针对中标供应商的技术T、质量Q、供应D、售后服务S方面，相应责任部门应建立起有效的合同履行和评价体系，进行有效监管。</w:t>
      </w:r>
    </w:p>
    <w:p w14:paraId="7CB1F92D">
      <w:pPr>
        <w:pStyle w:val="14"/>
        <w:spacing w:line="440" w:lineRule="exact"/>
        <w:ind w:firstLine="480"/>
        <w:rPr>
          <w:rFonts w:hint="eastAsia"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①若为中标人存在弄虚作假、隐瞒欺骗，造成严重的资质、技术、产品质量性能、交付供应、售后服务及其他承诺不履行等问题，将严格追究中标人的责任和造成损失的赔偿；</w:t>
      </w:r>
    </w:p>
    <w:p w14:paraId="67D4E0B2">
      <w:pPr>
        <w:pStyle w:val="14"/>
        <w:spacing w:line="440" w:lineRule="exact"/>
        <w:ind w:firstLine="480"/>
        <w:rPr>
          <w:rFonts w:hint="eastAsia"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②若为评审小组评审专家由于自身疏忽、不认真评审、未有效识别、异常评分或错误评标，造成劣质中标厂商导入、侵害其他潜在投标方的合法权益的，将禁止其在一定期限内参加相应招标项目的评标或取消其评标小组成员的资格，相应推荐部门进行通报批评。</w:t>
      </w:r>
    </w:p>
    <w:p w14:paraId="020382CA">
      <w:pPr>
        <w:pStyle w:val="14"/>
        <w:numPr>
          <w:ilvl w:val="0"/>
          <w:numId w:val="4"/>
        </w:numPr>
        <w:spacing w:line="440" w:lineRule="exact"/>
        <w:ind w:left="0" w:firstLine="480"/>
        <w:rPr>
          <w:rFonts w:hint="eastAsia" w:ascii="宋体" w:hAnsi="宋体"/>
          <w:color w:val="000000" w:themeColor="text1"/>
          <w14:textFill>
            <w14:solidFill>
              <w14:schemeClr w14:val="tx1"/>
            </w14:solidFill>
          </w14:textFill>
        </w:rPr>
        <w:sectPr>
          <w:pgSz w:w="11906" w:h="16838"/>
          <w:pgMar w:top="1418" w:right="1134" w:bottom="851" w:left="1418" w:header="851" w:footer="992" w:gutter="0"/>
          <w:cols w:space="425" w:num="1"/>
          <w:docGrid w:type="lines" w:linePitch="312" w:charSpace="0"/>
        </w:sectPr>
      </w:pPr>
      <w:r>
        <w:rPr>
          <w:rFonts w:hint="eastAsia" w:ascii="宋体" w:hAnsi="宋体"/>
          <w:color w:val="000000" w:themeColor="text1"/>
          <w14:textFill>
            <w14:solidFill>
              <w14:schemeClr w14:val="tx1"/>
            </w14:solidFill>
          </w14:textFill>
        </w:rPr>
        <w:t>招标中心可组织对评审小组评标专家的履职情况进行评价，作为年度评标专家考核的依据，视阶段履职考核进行评审活动的劳务报酬、奖励分配及评审资格延续。</w:t>
      </w:r>
    </w:p>
    <w:p w14:paraId="41827FCE">
      <w:pPr>
        <w:wordWrap w:val="0"/>
        <w:spacing w:line="360" w:lineRule="auto"/>
        <w:outlineLvl w:val="1"/>
        <w:rPr>
          <w:rFonts w:hint="eastAsia" w:ascii="宋体" w:hAnsi="宋体"/>
          <w:b/>
          <w:bCs/>
          <w:sz w:val="24"/>
          <w:szCs w:val="24"/>
        </w:rPr>
      </w:pPr>
      <w:r>
        <w:rPr>
          <w:rFonts w:hint="eastAsia" w:ascii="宋体" w:hAnsi="宋体"/>
          <w:b/>
          <w:bCs/>
          <w:sz w:val="24"/>
          <w:szCs w:val="24"/>
        </w:rPr>
        <w:t>表一：供应商能力审核评审项目/评分标准</w:t>
      </w:r>
    </w:p>
    <w:tbl>
      <w:tblPr>
        <w:tblStyle w:val="10"/>
        <w:tblW w:w="4938" w:type="pct"/>
        <w:tblInd w:w="113" w:type="dxa"/>
        <w:tblLayout w:type="autofit"/>
        <w:tblCellMar>
          <w:top w:w="0" w:type="dxa"/>
          <w:left w:w="108" w:type="dxa"/>
          <w:bottom w:w="0" w:type="dxa"/>
          <w:right w:w="108" w:type="dxa"/>
        </w:tblCellMar>
      </w:tblPr>
      <w:tblGrid>
        <w:gridCol w:w="463"/>
        <w:gridCol w:w="1186"/>
        <w:gridCol w:w="2361"/>
        <w:gridCol w:w="936"/>
        <w:gridCol w:w="7701"/>
        <w:gridCol w:w="1742"/>
      </w:tblGrid>
      <w:tr w14:paraId="59E45066">
        <w:tblPrEx>
          <w:tblCellMar>
            <w:top w:w="0" w:type="dxa"/>
            <w:left w:w="108" w:type="dxa"/>
            <w:bottom w:w="0" w:type="dxa"/>
            <w:right w:w="108" w:type="dxa"/>
          </w:tblCellMar>
        </w:tblPrEx>
        <w:trPr>
          <w:trHeight w:val="20" w:hRule="atLeast"/>
        </w:trPr>
        <w:tc>
          <w:tcPr>
            <w:tcW w:w="161" w:type="pct"/>
            <w:tcBorders>
              <w:top w:val="single" w:color="auto" w:sz="4" w:space="0"/>
              <w:left w:val="single" w:color="auto" w:sz="4" w:space="0"/>
              <w:bottom w:val="single" w:color="auto" w:sz="4" w:space="0"/>
              <w:right w:val="single" w:color="auto" w:sz="4" w:space="0"/>
            </w:tcBorders>
            <w:shd w:val="clear" w:color="auto" w:fill="D9D9D9"/>
            <w:vAlign w:val="center"/>
          </w:tcPr>
          <w:p w14:paraId="06359925">
            <w:pPr>
              <w:widowControl/>
              <w:wordWrap w:val="0"/>
              <w:spacing w:line="240" w:lineRule="exact"/>
              <w:jc w:val="center"/>
              <w:rPr>
                <w:rFonts w:hint="eastAsia" w:ascii="宋体" w:hAnsi="宋体" w:cs="宋体"/>
                <w:b/>
                <w:bCs/>
                <w:color w:val="000000"/>
                <w:kern w:val="0"/>
                <w:sz w:val="18"/>
                <w:szCs w:val="18"/>
              </w:rPr>
            </w:pPr>
            <w:bookmarkStart w:id="11" w:name="_Hlk216164135"/>
            <w:r>
              <w:rPr>
                <w:rFonts w:hint="eastAsia" w:ascii="宋体" w:hAnsi="宋体" w:cs="宋体"/>
                <w:b/>
                <w:bCs/>
                <w:color w:val="000000"/>
                <w:kern w:val="0"/>
                <w:sz w:val="18"/>
                <w:szCs w:val="18"/>
              </w:rPr>
              <w:t>序</w:t>
            </w:r>
          </w:p>
        </w:tc>
        <w:tc>
          <w:tcPr>
            <w:tcW w:w="412" w:type="pct"/>
            <w:tcBorders>
              <w:top w:val="single" w:color="auto" w:sz="4" w:space="0"/>
              <w:left w:val="single" w:color="auto" w:sz="4" w:space="0"/>
              <w:bottom w:val="single" w:color="auto" w:sz="4" w:space="0"/>
              <w:right w:val="single" w:color="auto" w:sz="4" w:space="0"/>
            </w:tcBorders>
            <w:shd w:val="clear" w:color="auto" w:fill="D9D9D9"/>
            <w:vAlign w:val="center"/>
          </w:tcPr>
          <w:p w14:paraId="5140C767">
            <w:pPr>
              <w:widowControl/>
              <w:wordWrap w:val="0"/>
              <w:spacing w:line="240" w:lineRule="exact"/>
              <w:jc w:val="center"/>
              <w:rPr>
                <w:rFonts w:hint="eastAsia" w:ascii="宋体" w:hAnsi="宋体" w:cs="宋体"/>
                <w:b/>
                <w:bCs/>
                <w:color w:val="000000"/>
                <w:kern w:val="0"/>
                <w:sz w:val="18"/>
                <w:szCs w:val="18"/>
              </w:rPr>
            </w:pPr>
            <w:r>
              <w:rPr>
                <w:rFonts w:hint="eastAsia" w:ascii="宋体" w:hAnsi="宋体" w:cs="宋体"/>
                <w:b/>
                <w:bCs/>
                <w:color w:val="000000"/>
                <w:kern w:val="0"/>
                <w:sz w:val="18"/>
                <w:szCs w:val="18"/>
              </w:rPr>
              <w:t>评审方向</w:t>
            </w:r>
          </w:p>
        </w:tc>
        <w:tc>
          <w:tcPr>
            <w:tcW w:w="820" w:type="pct"/>
            <w:tcBorders>
              <w:top w:val="single" w:color="auto" w:sz="4" w:space="0"/>
              <w:left w:val="nil"/>
              <w:bottom w:val="single" w:color="auto" w:sz="4" w:space="0"/>
              <w:right w:val="single" w:color="auto" w:sz="4" w:space="0"/>
            </w:tcBorders>
            <w:shd w:val="clear" w:color="auto" w:fill="D9D9D9"/>
            <w:vAlign w:val="center"/>
          </w:tcPr>
          <w:p w14:paraId="3D2EA5A4">
            <w:pPr>
              <w:widowControl/>
              <w:wordWrap w:val="0"/>
              <w:spacing w:line="240" w:lineRule="exact"/>
              <w:jc w:val="center"/>
              <w:rPr>
                <w:rFonts w:hint="eastAsia" w:ascii="宋体" w:hAnsi="宋体" w:cs="宋体"/>
                <w:b/>
                <w:bCs/>
                <w:color w:val="000000"/>
                <w:kern w:val="0"/>
                <w:sz w:val="18"/>
                <w:szCs w:val="18"/>
              </w:rPr>
            </w:pPr>
            <w:r>
              <w:rPr>
                <w:rFonts w:hint="eastAsia" w:ascii="宋体" w:hAnsi="宋体" w:cs="宋体"/>
                <w:b/>
                <w:bCs/>
                <w:color w:val="000000"/>
                <w:kern w:val="0"/>
                <w:sz w:val="18"/>
                <w:szCs w:val="18"/>
              </w:rPr>
              <w:t>评审内容</w:t>
            </w:r>
          </w:p>
        </w:tc>
        <w:tc>
          <w:tcPr>
            <w:tcW w:w="325" w:type="pct"/>
            <w:tcBorders>
              <w:top w:val="single" w:color="auto" w:sz="4" w:space="0"/>
              <w:left w:val="nil"/>
              <w:bottom w:val="single" w:color="auto" w:sz="4" w:space="0"/>
              <w:right w:val="single" w:color="auto" w:sz="4" w:space="0"/>
            </w:tcBorders>
            <w:shd w:val="clear" w:color="auto" w:fill="D9D9D9"/>
            <w:vAlign w:val="center"/>
          </w:tcPr>
          <w:p w14:paraId="41955BA5">
            <w:pPr>
              <w:widowControl/>
              <w:wordWrap w:val="0"/>
              <w:spacing w:line="240" w:lineRule="exact"/>
              <w:jc w:val="center"/>
              <w:rPr>
                <w:rFonts w:hint="eastAsia" w:ascii="宋体" w:hAnsi="宋体" w:cs="宋体"/>
                <w:b/>
                <w:bCs/>
                <w:color w:val="000000"/>
                <w:kern w:val="0"/>
                <w:sz w:val="18"/>
                <w:szCs w:val="18"/>
              </w:rPr>
            </w:pPr>
            <w:r>
              <w:rPr>
                <w:rFonts w:hint="eastAsia" w:ascii="宋体" w:hAnsi="宋体" w:cs="宋体"/>
                <w:b/>
                <w:bCs/>
                <w:color w:val="000000"/>
                <w:kern w:val="0"/>
                <w:sz w:val="18"/>
                <w:szCs w:val="18"/>
              </w:rPr>
              <w:t>必选★/可选▲</w:t>
            </w:r>
          </w:p>
        </w:tc>
        <w:tc>
          <w:tcPr>
            <w:tcW w:w="2675" w:type="pct"/>
            <w:tcBorders>
              <w:top w:val="single" w:color="auto" w:sz="4" w:space="0"/>
              <w:left w:val="nil"/>
              <w:bottom w:val="single" w:color="auto" w:sz="4" w:space="0"/>
              <w:right w:val="single" w:color="auto" w:sz="4" w:space="0"/>
            </w:tcBorders>
            <w:shd w:val="clear" w:color="auto" w:fill="D9D9D9"/>
            <w:vAlign w:val="center"/>
          </w:tcPr>
          <w:p w14:paraId="19E9A555">
            <w:pPr>
              <w:widowControl/>
              <w:wordWrap w:val="0"/>
              <w:spacing w:line="240" w:lineRule="exact"/>
              <w:jc w:val="center"/>
              <w:rPr>
                <w:rFonts w:hint="eastAsia" w:ascii="宋体" w:hAnsi="宋体" w:cs="宋体"/>
                <w:b/>
                <w:bCs/>
                <w:color w:val="000000"/>
                <w:kern w:val="0"/>
                <w:sz w:val="18"/>
                <w:szCs w:val="18"/>
              </w:rPr>
            </w:pPr>
            <w:r>
              <w:rPr>
                <w:rFonts w:hint="eastAsia" w:ascii="宋体" w:hAnsi="宋体" w:cs="宋体"/>
                <w:b/>
                <w:bCs/>
                <w:color w:val="000000"/>
                <w:kern w:val="0"/>
                <w:sz w:val="18"/>
                <w:szCs w:val="18"/>
              </w:rPr>
              <w:t>资料提供说明</w:t>
            </w:r>
            <w:r>
              <w:rPr>
                <w:rFonts w:hint="eastAsia" w:ascii="宋体" w:hAnsi="宋体" w:cs="宋体"/>
                <w:b/>
                <w:bCs/>
                <w:color w:val="FF0000"/>
                <w:kern w:val="0"/>
                <w:sz w:val="18"/>
                <w:szCs w:val="18"/>
              </w:rPr>
              <w:t>（面向供应商）</w:t>
            </w:r>
          </w:p>
        </w:tc>
        <w:tc>
          <w:tcPr>
            <w:tcW w:w="605" w:type="pct"/>
            <w:tcBorders>
              <w:top w:val="single" w:color="auto" w:sz="4" w:space="0"/>
              <w:left w:val="single" w:color="auto" w:sz="4" w:space="0"/>
              <w:bottom w:val="single" w:color="auto" w:sz="4" w:space="0"/>
              <w:right w:val="single" w:color="auto" w:sz="4" w:space="0"/>
            </w:tcBorders>
            <w:shd w:val="clear" w:color="auto" w:fill="D9D9D9"/>
            <w:vAlign w:val="center"/>
          </w:tcPr>
          <w:p w14:paraId="33785FEF">
            <w:pPr>
              <w:widowControl/>
              <w:wordWrap w:val="0"/>
              <w:spacing w:line="240" w:lineRule="exact"/>
              <w:jc w:val="center"/>
              <w:rPr>
                <w:rFonts w:hint="eastAsia" w:ascii="宋体" w:hAnsi="宋体" w:cs="宋体"/>
                <w:b/>
                <w:bCs/>
                <w:color w:val="000000"/>
                <w:kern w:val="0"/>
                <w:sz w:val="18"/>
                <w:szCs w:val="18"/>
              </w:rPr>
            </w:pPr>
            <w:r>
              <w:rPr>
                <w:rFonts w:hint="eastAsia" w:ascii="宋体" w:hAnsi="宋体" w:cs="宋体"/>
                <w:b/>
                <w:bCs/>
                <w:color w:val="000000"/>
                <w:kern w:val="0"/>
                <w:sz w:val="18"/>
                <w:szCs w:val="18"/>
              </w:rPr>
              <w:t>备注</w:t>
            </w:r>
          </w:p>
          <w:p w14:paraId="2C051430">
            <w:pPr>
              <w:widowControl/>
              <w:wordWrap w:val="0"/>
              <w:spacing w:line="240" w:lineRule="exact"/>
              <w:jc w:val="center"/>
              <w:rPr>
                <w:rFonts w:hint="eastAsia" w:ascii="宋体" w:hAnsi="宋体" w:cs="宋体"/>
                <w:color w:val="000000"/>
                <w:kern w:val="0"/>
                <w:sz w:val="18"/>
                <w:szCs w:val="18"/>
              </w:rPr>
            </w:pPr>
            <w:r>
              <w:rPr>
                <w:rFonts w:hint="eastAsia" w:ascii="宋体" w:hAnsi="宋体" w:cs="宋体"/>
                <w:b/>
                <w:bCs/>
                <w:color w:val="FF0000"/>
                <w:kern w:val="0"/>
                <w:sz w:val="18"/>
                <w:szCs w:val="18"/>
              </w:rPr>
              <w:t>（和相关部门确认制定后删除该列）</w:t>
            </w:r>
          </w:p>
        </w:tc>
      </w:tr>
      <w:tr w14:paraId="36D810CA">
        <w:tblPrEx>
          <w:tblCellMar>
            <w:top w:w="0" w:type="dxa"/>
            <w:left w:w="108" w:type="dxa"/>
            <w:bottom w:w="0" w:type="dxa"/>
            <w:right w:w="108" w:type="dxa"/>
          </w:tblCellMar>
        </w:tblPrEx>
        <w:trPr>
          <w:trHeight w:val="20" w:hRule="atLeast"/>
        </w:trPr>
        <w:tc>
          <w:tcPr>
            <w:tcW w:w="161" w:type="pct"/>
            <w:vMerge w:val="restart"/>
            <w:tcBorders>
              <w:top w:val="single" w:color="auto" w:sz="4" w:space="0"/>
              <w:left w:val="single" w:color="auto" w:sz="4" w:space="0"/>
              <w:bottom w:val="single" w:color="auto" w:sz="4" w:space="0"/>
              <w:right w:val="single" w:color="auto" w:sz="4" w:space="0"/>
            </w:tcBorders>
            <w:vAlign w:val="center"/>
          </w:tcPr>
          <w:p w14:paraId="26ED4687">
            <w:pPr>
              <w:widowControl/>
              <w:wordWrap w:val="0"/>
              <w:spacing w:line="240" w:lineRule="exact"/>
              <w:jc w:val="center"/>
              <w:rPr>
                <w:rFonts w:hint="eastAsia" w:ascii="宋体" w:hAnsi="宋体" w:cs="宋体"/>
                <w:b/>
                <w:bCs/>
                <w:color w:val="000000"/>
                <w:kern w:val="0"/>
                <w:sz w:val="18"/>
                <w:szCs w:val="18"/>
              </w:rPr>
            </w:pPr>
            <w:r>
              <w:rPr>
                <w:rFonts w:hint="eastAsia" w:ascii="宋体" w:hAnsi="宋体" w:cs="宋体"/>
                <w:b/>
                <w:bCs/>
                <w:color w:val="000000"/>
                <w:kern w:val="0"/>
                <w:sz w:val="18"/>
                <w:szCs w:val="18"/>
              </w:rPr>
              <w:t>1</w:t>
            </w:r>
          </w:p>
        </w:tc>
        <w:tc>
          <w:tcPr>
            <w:tcW w:w="412" w:type="pct"/>
            <w:vMerge w:val="restart"/>
            <w:tcBorders>
              <w:top w:val="single" w:color="auto" w:sz="4" w:space="0"/>
              <w:left w:val="single" w:color="auto" w:sz="4" w:space="0"/>
              <w:bottom w:val="single" w:color="auto" w:sz="4" w:space="0"/>
              <w:right w:val="single" w:color="auto" w:sz="4" w:space="0"/>
            </w:tcBorders>
            <w:vAlign w:val="center"/>
          </w:tcPr>
          <w:p w14:paraId="77B76AFA">
            <w:pPr>
              <w:widowControl/>
              <w:wordWrap w:val="0"/>
              <w:spacing w:line="240" w:lineRule="exact"/>
              <w:jc w:val="center"/>
              <w:rPr>
                <w:rFonts w:hint="eastAsia" w:ascii="宋体" w:hAnsi="宋体" w:cs="宋体"/>
                <w:b/>
                <w:bCs/>
                <w:color w:val="000000"/>
                <w:kern w:val="0"/>
                <w:sz w:val="18"/>
                <w:szCs w:val="18"/>
              </w:rPr>
            </w:pPr>
            <w:r>
              <w:rPr>
                <w:rFonts w:hint="eastAsia" w:ascii="宋体" w:hAnsi="宋体" w:cs="宋体"/>
                <w:b/>
                <w:bCs/>
                <w:color w:val="000000"/>
                <w:kern w:val="0"/>
                <w:sz w:val="18"/>
                <w:szCs w:val="18"/>
              </w:rPr>
              <w:t>技术T</w:t>
            </w:r>
          </w:p>
        </w:tc>
        <w:tc>
          <w:tcPr>
            <w:tcW w:w="820" w:type="pct"/>
            <w:tcBorders>
              <w:top w:val="single" w:color="auto" w:sz="4" w:space="0"/>
              <w:left w:val="nil"/>
              <w:bottom w:val="single" w:color="auto" w:sz="4" w:space="0"/>
              <w:right w:val="single" w:color="auto" w:sz="4" w:space="0"/>
            </w:tcBorders>
            <w:shd w:val="clear" w:color="auto" w:fill="auto"/>
            <w:vAlign w:val="center"/>
          </w:tcPr>
          <w:p w14:paraId="1471D54A">
            <w:pPr>
              <w:widowControl/>
              <w:wordWrap w:val="0"/>
              <w:spacing w:line="240" w:lineRule="exact"/>
              <w:jc w:val="center"/>
              <w:rPr>
                <w:rFonts w:hint="eastAsia" w:ascii="宋体" w:hAnsi="宋体" w:eastAsia="宋体" w:cs="宋体"/>
                <w:b/>
                <w:bCs/>
                <w:color w:val="000000"/>
                <w:kern w:val="0"/>
                <w:sz w:val="18"/>
                <w:szCs w:val="18"/>
                <w:lang w:val="en-US" w:eastAsia="zh-CN" w:bidi="ar-SA"/>
              </w:rPr>
            </w:pPr>
            <w:r>
              <w:rPr>
                <w:rFonts w:hint="eastAsia" w:ascii="宋体" w:hAnsi="宋体" w:cs="宋体"/>
                <w:b/>
                <w:bCs/>
                <w:color w:val="000000"/>
                <w:kern w:val="0"/>
                <w:sz w:val="18"/>
                <w:szCs w:val="18"/>
              </w:rPr>
              <w:t>技术符合性</w:t>
            </w:r>
          </w:p>
        </w:tc>
        <w:tc>
          <w:tcPr>
            <w:tcW w:w="325" w:type="pct"/>
            <w:tcBorders>
              <w:top w:val="single" w:color="auto" w:sz="4" w:space="0"/>
              <w:left w:val="nil"/>
              <w:bottom w:val="single" w:color="auto" w:sz="4" w:space="0"/>
              <w:right w:val="single" w:color="auto" w:sz="4" w:space="0"/>
            </w:tcBorders>
            <w:shd w:val="clear" w:color="auto" w:fill="auto"/>
            <w:vAlign w:val="center"/>
          </w:tcPr>
          <w:p w14:paraId="67344933">
            <w:pPr>
              <w:widowControl/>
              <w:wordWrap w:val="0"/>
              <w:spacing w:line="240" w:lineRule="exact"/>
              <w:jc w:val="center"/>
              <w:rPr>
                <w:rFonts w:hint="eastAsia" w:ascii="宋体" w:hAnsi="宋体" w:eastAsia="宋体" w:cs="宋体"/>
                <w:b/>
                <w:bCs/>
                <w:color w:val="000000"/>
                <w:kern w:val="0"/>
                <w:sz w:val="18"/>
                <w:szCs w:val="18"/>
                <w:lang w:val="en-US" w:eastAsia="zh-CN" w:bidi="ar-SA"/>
              </w:rPr>
            </w:pPr>
            <w:r>
              <w:rPr>
                <w:rFonts w:hint="eastAsia" w:ascii="宋体" w:hAnsi="宋体" w:cs="宋体"/>
                <w:b/>
                <w:bCs/>
                <w:color w:val="000000"/>
                <w:kern w:val="0"/>
                <w:sz w:val="18"/>
                <w:szCs w:val="18"/>
              </w:rPr>
              <w:t>★</w:t>
            </w:r>
          </w:p>
        </w:tc>
        <w:tc>
          <w:tcPr>
            <w:tcW w:w="2675" w:type="pct"/>
            <w:tcBorders>
              <w:top w:val="single" w:color="auto" w:sz="4" w:space="0"/>
              <w:left w:val="nil"/>
              <w:bottom w:val="single" w:color="auto" w:sz="4" w:space="0"/>
              <w:right w:val="single" w:color="auto" w:sz="4" w:space="0"/>
            </w:tcBorders>
            <w:shd w:val="clear" w:color="auto" w:fill="auto"/>
            <w:vAlign w:val="center"/>
          </w:tcPr>
          <w:p w14:paraId="404FEA6D">
            <w:pPr>
              <w:widowControl/>
              <w:wordWrap w:val="0"/>
              <w:spacing w:line="240" w:lineRule="exact"/>
              <w:jc w:val="left"/>
              <w:rPr>
                <w:rFonts w:hint="eastAsia" w:ascii="宋体" w:hAnsi="宋体" w:cs="宋体"/>
                <w:b/>
                <w:bCs/>
                <w:color w:val="000000"/>
                <w:kern w:val="0"/>
                <w:sz w:val="18"/>
                <w:szCs w:val="18"/>
              </w:rPr>
            </w:pPr>
            <w:r>
              <w:rPr>
                <w:rFonts w:hint="eastAsia" w:ascii="宋体" w:hAnsi="宋体" w:cs="宋体"/>
                <w:b/>
                <w:bCs/>
                <w:color w:val="000000"/>
                <w:kern w:val="0"/>
                <w:sz w:val="18"/>
                <w:szCs w:val="18"/>
              </w:rPr>
              <w:t>1、对金龙技术协议、技术要求、国家&amp;行业标准的响应情况；-提供招标项目技术相关协议无偏移的-盖章；</w:t>
            </w:r>
          </w:p>
          <w:p w14:paraId="207BFFF7">
            <w:pPr>
              <w:widowControl/>
              <w:wordWrap w:val="0"/>
              <w:spacing w:line="240" w:lineRule="exact"/>
              <w:jc w:val="left"/>
              <w:rPr>
                <w:rFonts w:hint="eastAsia" w:ascii="宋体" w:hAnsi="宋体" w:eastAsia="宋体" w:cs="宋体"/>
                <w:b/>
                <w:bCs/>
                <w:color w:val="000000"/>
                <w:kern w:val="0"/>
                <w:sz w:val="18"/>
                <w:szCs w:val="18"/>
                <w:lang w:val="en-US" w:eastAsia="zh-CN" w:bidi="ar-SA"/>
              </w:rPr>
            </w:pPr>
            <w:r>
              <w:rPr>
                <w:rFonts w:hint="eastAsia" w:ascii="宋体" w:hAnsi="宋体" w:cs="宋体"/>
                <w:b/>
                <w:bCs/>
                <w:color w:val="000000"/>
                <w:kern w:val="0"/>
                <w:sz w:val="18"/>
                <w:szCs w:val="18"/>
              </w:rPr>
              <w:t>2、根据技术协议/要求提供相应的佐证材料</w:t>
            </w:r>
            <w:r>
              <w:rPr>
                <w:rFonts w:hint="eastAsia" w:ascii="宋体" w:hAnsi="宋体" w:cs="宋体"/>
                <w:b/>
                <w:bCs/>
                <w:color w:val="0000FF"/>
                <w:kern w:val="0"/>
                <w:sz w:val="18"/>
                <w:szCs w:val="18"/>
              </w:rPr>
              <w:t>【主要涉及的材质、结构、性能、适配环境场景、安全、表观、经济性等关键要求】</w:t>
            </w:r>
            <w:r>
              <w:rPr>
                <w:rFonts w:hint="eastAsia" w:ascii="宋体" w:hAnsi="宋体" w:cs="宋体"/>
                <w:b/>
                <w:bCs/>
                <w:color w:val="000000"/>
                <w:kern w:val="0"/>
                <w:sz w:val="18"/>
                <w:szCs w:val="18"/>
              </w:rPr>
              <w:t>；</w:t>
            </w:r>
          </w:p>
        </w:tc>
        <w:tc>
          <w:tcPr>
            <w:tcW w:w="605" w:type="pct"/>
            <w:vMerge w:val="restart"/>
            <w:tcBorders>
              <w:top w:val="single" w:color="auto" w:sz="4" w:space="0"/>
              <w:left w:val="single" w:color="auto" w:sz="4" w:space="0"/>
              <w:bottom w:val="single" w:color="auto" w:sz="4" w:space="0"/>
              <w:right w:val="single" w:color="auto" w:sz="4" w:space="0"/>
            </w:tcBorders>
            <w:vAlign w:val="center"/>
          </w:tcPr>
          <w:p w14:paraId="12D2AA33">
            <w:pPr>
              <w:widowControl/>
              <w:wordWrap w:val="0"/>
              <w:spacing w:line="240" w:lineRule="exact"/>
              <w:jc w:val="center"/>
              <w:rPr>
                <w:rFonts w:hint="eastAsia" w:ascii="宋体" w:hAnsi="宋体" w:cs="宋体"/>
                <w:color w:val="000000"/>
                <w:kern w:val="0"/>
                <w:sz w:val="18"/>
                <w:szCs w:val="18"/>
              </w:rPr>
            </w:pPr>
            <w:r>
              <w:rPr>
                <w:rFonts w:hint="eastAsia" w:ascii="宋体" w:hAnsi="宋体" w:cs="宋体"/>
                <w:b/>
                <w:bCs/>
                <w:color w:val="FF0000"/>
                <w:kern w:val="0"/>
                <w:sz w:val="18"/>
                <w:szCs w:val="18"/>
              </w:rPr>
              <w:t>由技术部门制定和补充评审内容/供应商资料提供说明/评分标准/评审方法（按项目及实际情况分档或者其他评分评审方式）</w:t>
            </w:r>
          </w:p>
        </w:tc>
      </w:tr>
      <w:tr w14:paraId="11B0B1D5">
        <w:tblPrEx>
          <w:tblCellMar>
            <w:top w:w="0" w:type="dxa"/>
            <w:left w:w="108" w:type="dxa"/>
            <w:bottom w:w="0" w:type="dxa"/>
            <w:right w:w="108" w:type="dxa"/>
          </w:tblCellMar>
        </w:tblPrEx>
        <w:trPr>
          <w:trHeight w:val="20" w:hRule="atLeast"/>
        </w:trPr>
        <w:tc>
          <w:tcPr>
            <w:tcW w:w="161" w:type="pct"/>
            <w:vMerge w:val="continue"/>
            <w:tcBorders>
              <w:top w:val="nil"/>
              <w:left w:val="single" w:color="auto" w:sz="4" w:space="0"/>
              <w:bottom w:val="single" w:color="auto" w:sz="4" w:space="0"/>
              <w:right w:val="single" w:color="auto" w:sz="4" w:space="0"/>
            </w:tcBorders>
            <w:vAlign w:val="center"/>
          </w:tcPr>
          <w:p w14:paraId="45B1A2F1">
            <w:pPr>
              <w:widowControl/>
              <w:wordWrap w:val="0"/>
              <w:spacing w:line="240" w:lineRule="exact"/>
              <w:jc w:val="left"/>
              <w:rPr>
                <w:rFonts w:hint="eastAsia" w:ascii="宋体" w:hAnsi="宋体" w:cs="宋体"/>
                <w:b/>
                <w:bCs/>
                <w:color w:val="000000"/>
                <w:kern w:val="0"/>
                <w:sz w:val="18"/>
                <w:szCs w:val="18"/>
              </w:rPr>
            </w:pPr>
          </w:p>
        </w:tc>
        <w:tc>
          <w:tcPr>
            <w:tcW w:w="412" w:type="pct"/>
            <w:vMerge w:val="continue"/>
            <w:tcBorders>
              <w:top w:val="nil"/>
              <w:left w:val="single" w:color="auto" w:sz="4" w:space="0"/>
              <w:bottom w:val="single" w:color="auto" w:sz="4" w:space="0"/>
              <w:right w:val="single" w:color="auto" w:sz="4" w:space="0"/>
            </w:tcBorders>
            <w:vAlign w:val="center"/>
          </w:tcPr>
          <w:p w14:paraId="4AC4E41F">
            <w:pPr>
              <w:widowControl/>
              <w:wordWrap w:val="0"/>
              <w:spacing w:line="240" w:lineRule="exact"/>
              <w:jc w:val="left"/>
              <w:rPr>
                <w:rFonts w:hint="eastAsia" w:ascii="宋体" w:hAnsi="宋体" w:cs="宋体"/>
                <w:b/>
                <w:bCs/>
                <w:color w:val="000000"/>
                <w:kern w:val="0"/>
                <w:sz w:val="18"/>
                <w:szCs w:val="18"/>
              </w:rPr>
            </w:pPr>
          </w:p>
        </w:tc>
        <w:tc>
          <w:tcPr>
            <w:tcW w:w="820" w:type="pct"/>
            <w:tcBorders>
              <w:top w:val="nil"/>
              <w:left w:val="nil"/>
              <w:bottom w:val="single" w:color="auto" w:sz="4" w:space="0"/>
              <w:right w:val="single" w:color="auto" w:sz="4" w:space="0"/>
            </w:tcBorders>
            <w:vAlign w:val="center"/>
          </w:tcPr>
          <w:p w14:paraId="7E705AAA">
            <w:pPr>
              <w:widowControl/>
              <w:wordWrap w:val="0"/>
              <w:spacing w:line="240" w:lineRule="exact"/>
              <w:jc w:val="center"/>
              <w:rPr>
                <w:rFonts w:hint="eastAsia" w:ascii="宋体" w:hAnsi="宋体" w:cs="宋体"/>
                <w:b/>
                <w:bCs/>
                <w:color w:val="000000"/>
                <w:kern w:val="0"/>
                <w:sz w:val="18"/>
                <w:szCs w:val="18"/>
              </w:rPr>
            </w:pPr>
            <w:r>
              <w:rPr>
                <w:rFonts w:hint="eastAsia" w:ascii="宋体" w:hAnsi="宋体" w:cs="宋体"/>
                <w:b/>
                <w:bCs/>
                <w:color w:val="000000"/>
                <w:kern w:val="0"/>
                <w:sz w:val="18"/>
                <w:szCs w:val="18"/>
              </w:rPr>
              <w:t>技术管理部门组织架构及人员专业性</w:t>
            </w:r>
          </w:p>
        </w:tc>
        <w:tc>
          <w:tcPr>
            <w:tcW w:w="325" w:type="pct"/>
            <w:tcBorders>
              <w:top w:val="nil"/>
              <w:left w:val="nil"/>
              <w:bottom w:val="single" w:color="auto" w:sz="4" w:space="0"/>
              <w:right w:val="single" w:color="auto" w:sz="4" w:space="0"/>
            </w:tcBorders>
            <w:vAlign w:val="center"/>
          </w:tcPr>
          <w:p w14:paraId="3753310E">
            <w:pPr>
              <w:widowControl/>
              <w:wordWrap w:val="0"/>
              <w:spacing w:line="240" w:lineRule="exact"/>
              <w:jc w:val="center"/>
              <w:rPr>
                <w:rFonts w:hint="eastAsia" w:ascii="宋体" w:hAnsi="宋体" w:cs="宋体"/>
                <w:b/>
                <w:bCs/>
                <w:color w:val="000000"/>
                <w:kern w:val="0"/>
                <w:sz w:val="18"/>
                <w:szCs w:val="18"/>
              </w:rPr>
            </w:pPr>
            <w:r>
              <w:rPr>
                <w:rFonts w:hint="eastAsia" w:ascii="宋体" w:hAnsi="宋体" w:cs="宋体"/>
                <w:b/>
                <w:bCs/>
                <w:color w:val="000000"/>
                <w:kern w:val="0"/>
                <w:sz w:val="18"/>
                <w:szCs w:val="18"/>
              </w:rPr>
              <w:t>★</w:t>
            </w:r>
          </w:p>
        </w:tc>
        <w:tc>
          <w:tcPr>
            <w:tcW w:w="2675" w:type="pct"/>
            <w:tcBorders>
              <w:top w:val="nil"/>
              <w:left w:val="nil"/>
              <w:bottom w:val="single" w:color="auto" w:sz="4" w:space="0"/>
              <w:right w:val="single" w:color="auto" w:sz="4" w:space="0"/>
            </w:tcBorders>
            <w:vAlign w:val="center"/>
          </w:tcPr>
          <w:p w14:paraId="54CD3331">
            <w:pPr>
              <w:widowControl/>
              <w:wordWrap w:val="0"/>
              <w:spacing w:line="240" w:lineRule="exact"/>
              <w:jc w:val="left"/>
              <w:rPr>
                <w:rFonts w:hint="eastAsia" w:ascii="宋体" w:hAnsi="宋体" w:cs="宋体"/>
                <w:b/>
                <w:bCs/>
                <w:color w:val="000000"/>
                <w:kern w:val="0"/>
                <w:sz w:val="18"/>
                <w:szCs w:val="18"/>
              </w:rPr>
            </w:pPr>
            <w:r>
              <w:rPr>
                <w:rFonts w:hint="eastAsia" w:ascii="宋体" w:hAnsi="宋体" w:cs="宋体"/>
                <w:b/>
                <w:bCs/>
                <w:color w:val="000000"/>
                <w:kern w:val="0"/>
                <w:sz w:val="18"/>
                <w:szCs w:val="18"/>
              </w:rPr>
              <w:t>1、提供负责拟供产品的技术部门组织架构、岗位&amp;职责&amp;分工说明（注明相关技术管理人数、资质等各项情况）；</w:t>
            </w:r>
          </w:p>
          <w:p w14:paraId="12D7AF76">
            <w:pPr>
              <w:widowControl/>
              <w:wordWrap w:val="0"/>
              <w:spacing w:line="240" w:lineRule="exact"/>
              <w:jc w:val="left"/>
              <w:rPr>
                <w:rFonts w:hint="eastAsia" w:ascii="宋体" w:hAnsi="宋体" w:cs="宋体"/>
                <w:b/>
                <w:bCs/>
                <w:color w:val="000000"/>
                <w:kern w:val="0"/>
                <w:sz w:val="18"/>
                <w:szCs w:val="18"/>
              </w:rPr>
            </w:pPr>
            <w:r>
              <w:rPr>
                <w:rFonts w:hint="eastAsia" w:ascii="宋体" w:hAnsi="宋体" w:cs="宋体"/>
                <w:b/>
                <w:bCs/>
                <w:color w:val="000000"/>
                <w:kern w:val="0"/>
                <w:sz w:val="18"/>
                <w:szCs w:val="18"/>
              </w:rPr>
              <w:t>2、拟投标项目的负责技术团队核心成员信息</w:t>
            </w:r>
            <w:bookmarkStart w:id="12" w:name="OLE_LINK72"/>
            <w:r>
              <w:rPr>
                <w:rFonts w:hint="eastAsia" w:ascii="宋体" w:hAnsi="宋体" w:cs="宋体"/>
                <w:b/>
                <w:bCs/>
                <w:color w:val="0000FF"/>
                <w:kern w:val="0"/>
                <w:sz w:val="18"/>
                <w:szCs w:val="18"/>
              </w:rPr>
              <w:t>【包含但不限于姓名、性别、职位、相关专业、相关专业年限、职称证明、相关项目等】</w:t>
            </w:r>
            <w:bookmarkEnd w:id="12"/>
            <w:r>
              <w:rPr>
                <w:rFonts w:hint="eastAsia" w:ascii="宋体" w:hAnsi="宋体" w:cs="宋体"/>
                <w:b/>
                <w:bCs/>
                <w:color w:val="000000"/>
                <w:kern w:val="0"/>
                <w:sz w:val="18"/>
                <w:szCs w:val="18"/>
              </w:rPr>
              <w:t>；</w:t>
            </w:r>
          </w:p>
        </w:tc>
        <w:tc>
          <w:tcPr>
            <w:tcW w:w="605" w:type="pct"/>
            <w:vMerge w:val="continue"/>
            <w:tcBorders>
              <w:top w:val="nil"/>
              <w:left w:val="single" w:color="auto" w:sz="4" w:space="0"/>
              <w:bottom w:val="single" w:color="auto" w:sz="4" w:space="0"/>
              <w:right w:val="single" w:color="auto" w:sz="4" w:space="0"/>
            </w:tcBorders>
            <w:vAlign w:val="center"/>
          </w:tcPr>
          <w:p w14:paraId="7772FF15">
            <w:pPr>
              <w:widowControl/>
              <w:wordWrap w:val="0"/>
              <w:spacing w:line="240" w:lineRule="exact"/>
              <w:jc w:val="left"/>
              <w:rPr>
                <w:rFonts w:hint="eastAsia" w:ascii="宋体" w:hAnsi="宋体" w:cs="宋体"/>
                <w:color w:val="000000"/>
                <w:kern w:val="0"/>
                <w:sz w:val="18"/>
                <w:szCs w:val="18"/>
              </w:rPr>
            </w:pPr>
          </w:p>
        </w:tc>
      </w:tr>
      <w:tr w14:paraId="166F6211">
        <w:tblPrEx>
          <w:tblCellMar>
            <w:top w:w="0" w:type="dxa"/>
            <w:left w:w="108" w:type="dxa"/>
            <w:bottom w:w="0" w:type="dxa"/>
            <w:right w:w="108" w:type="dxa"/>
          </w:tblCellMar>
        </w:tblPrEx>
        <w:trPr>
          <w:trHeight w:val="20" w:hRule="atLeast"/>
        </w:trPr>
        <w:tc>
          <w:tcPr>
            <w:tcW w:w="161" w:type="pct"/>
            <w:vMerge w:val="continue"/>
            <w:tcBorders>
              <w:top w:val="nil"/>
              <w:left w:val="single" w:color="auto" w:sz="4" w:space="0"/>
              <w:bottom w:val="single" w:color="auto" w:sz="4" w:space="0"/>
              <w:right w:val="single" w:color="auto" w:sz="4" w:space="0"/>
            </w:tcBorders>
            <w:vAlign w:val="center"/>
          </w:tcPr>
          <w:p w14:paraId="42A2ECC1">
            <w:pPr>
              <w:widowControl/>
              <w:wordWrap w:val="0"/>
              <w:spacing w:line="240" w:lineRule="exact"/>
              <w:jc w:val="left"/>
              <w:rPr>
                <w:rFonts w:hint="eastAsia" w:ascii="宋体" w:hAnsi="宋体" w:cs="宋体"/>
                <w:b/>
                <w:bCs/>
                <w:color w:val="000000"/>
                <w:kern w:val="0"/>
                <w:sz w:val="18"/>
                <w:szCs w:val="18"/>
              </w:rPr>
            </w:pPr>
          </w:p>
        </w:tc>
        <w:tc>
          <w:tcPr>
            <w:tcW w:w="412" w:type="pct"/>
            <w:vMerge w:val="continue"/>
            <w:tcBorders>
              <w:top w:val="nil"/>
              <w:left w:val="single" w:color="auto" w:sz="4" w:space="0"/>
              <w:bottom w:val="single" w:color="auto" w:sz="4" w:space="0"/>
              <w:right w:val="single" w:color="auto" w:sz="4" w:space="0"/>
            </w:tcBorders>
            <w:vAlign w:val="center"/>
          </w:tcPr>
          <w:p w14:paraId="7F6180AD">
            <w:pPr>
              <w:widowControl/>
              <w:wordWrap w:val="0"/>
              <w:spacing w:line="240" w:lineRule="exact"/>
              <w:jc w:val="left"/>
              <w:rPr>
                <w:rFonts w:hint="eastAsia" w:ascii="宋体" w:hAnsi="宋体" w:cs="宋体"/>
                <w:b/>
                <w:bCs/>
                <w:color w:val="000000"/>
                <w:kern w:val="0"/>
                <w:sz w:val="18"/>
                <w:szCs w:val="18"/>
              </w:rPr>
            </w:pPr>
          </w:p>
        </w:tc>
        <w:tc>
          <w:tcPr>
            <w:tcW w:w="820" w:type="pct"/>
            <w:tcBorders>
              <w:top w:val="nil"/>
              <w:left w:val="nil"/>
              <w:bottom w:val="single" w:color="auto" w:sz="4" w:space="0"/>
              <w:right w:val="single" w:color="auto" w:sz="4" w:space="0"/>
            </w:tcBorders>
            <w:vAlign w:val="center"/>
          </w:tcPr>
          <w:p w14:paraId="5A926182">
            <w:pPr>
              <w:widowControl/>
              <w:wordWrap w:val="0"/>
              <w:spacing w:line="240" w:lineRule="exact"/>
              <w:jc w:val="center"/>
              <w:rPr>
                <w:rFonts w:hint="eastAsia" w:ascii="宋体" w:hAnsi="宋体" w:cs="宋体"/>
                <w:b/>
                <w:bCs/>
                <w:color w:val="000000"/>
                <w:kern w:val="0"/>
                <w:sz w:val="18"/>
                <w:szCs w:val="18"/>
              </w:rPr>
            </w:pPr>
            <w:r>
              <w:rPr>
                <w:rFonts w:hint="eastAsia" w:ascii="宋体" w:hAnsi="宋体" w:cs="宋体"/>
                <w:b/>
                <w:bCs/>
                <w:color w:val="000000"/>
                <w:kern w:val="0"/>
                <w:sz w:val="18"/>
                <w:szCs w:val="18"/>
              </w:rPr>
              <w:t>技术开发/配套过程组织管理</w:t>
            </w:r>
          </w:p>
        </w:tc>
        <w:tc>
          <w:tcPr>
            <w:tcW w:w="325" w:type="pct"/>
            <w:tcBorders>
              <w:top w:val="nil"/>
              <w:left w:val="nil"/>
              <w:bottom w:val="single" w:color="auto" w:sz="4" w:space="0"/>
              <w:right w:val="single" w:color="auto" w:sz="4" w:space="0"/>
            </w:tcBorders>
            <w:vAlign w:val="center"/>
          </w:tcPr>
          <w:p w14:paraId="3CB3B163">
            <w:pPr>
              <w:widowControl/>
              <w:wordWrap w:val="0"/>
              <w:spacing w:line="240" w:lineRule="exact"/>
              <w:jc w:val="center"/>
              <w:rPr>
                <w:rFonts w:hint="eastAsia" w:ascii="宋体" w:hAnsi="宋体" w:cs="宋体"/>
                <w:b/>
                <w:bCs/>
                <w:color w:val="000000"/>
                <w:kern w:val="0"/>
                <w:sz w:val="18"/>
                <w:szCs w:val="18"/>
              </w:rPr>
            </w:pPr>
            <w:r>
              <w:rPr>
                <w:rFonts w:hint="eastAsia" w:ascii="宋体" w:hAnsi="宋体" w:cs="宋体"/>
                <w:b/>
                <w:bCs/>
                <w:color w:val="000000"/>
                <w:kern w:val="0"/>
                <w:sz w:val="18"/>
                <w:szCs w:val="18"/>
              </w:rPr>
              <w:t>★</w:t>
            </w:r>
          </w:p>
        </w:tc>
        <w:tc>
          <w:tcPr>
            <w:tcW w:w="2675" w:type="pct"/>
            <w:tcBorders>
              <w:top w:val="nil"/>
              <w:left w:val="nil"/>
              <w:bottom w:val="single" w:color="auto" w:sz="4" w:space="0"/>
              <w:right w:val="single" w:color="auto" w:sz="4" w:space="0"/>
            </w:tcBorders>
            <w:vAlign w:val="center"/>
          </w:tcPr>
          <w:p w14:paraId="4AE57DFB">
            <w:pPr>
              <w:widowControl/>
              <w:wordWrap w:val="0"/>
              <w:spacing w:line="240" w:lineRule="exact"/>
              <w:jc w:val="left"/>
              <w:rPr>
                <w:rFonts w:hint="eastAsia" w:ascii="宋体" w:hAnsi="宋体" w:cs="宋体"/>
                <w:b/>
                <w:bCs/>
                <w:color w:val="000000"/>
                <w:kern w:val="0"/>
                <w:sz w:val="18"/>
                <w:szCs w:val="18"/>
              </w:rPr>
            </w:pPr>
            <w:r>
              <w:rPr>
                <w:rFonts w:hint="eastAsia" w:ascii="宋体" w:hAnsi="宋体" w:cs="宋体"/>
                <w:b/>
                <w:bCs/>
                <w:color w:val="000000"/>
                <w:kern w:val="0"/>
                <w:sz w:val="18"/>
                <w:szCs w:val="18"/>
              </w:rPr>
              <w:t>提供技术开发/配套过程管理范例</w:t>
            </w:r>
            <w:r>
              <w:rPr>
                <w:rFonts w:hint="eastAsia" w:ascii="宋体" w:hAnsi="宋体" w:cs="宋体"/>
                <w:b/>
                <w:bCs/>
                <w:color w:val="0000FF"/>
                <w:kern w:val="0"/>
                <w:sz w:val="18"/>
                <w:szCs w:val="18"/>
              </w:rPr>
              <w:t>（响应拟投标项目技术开发/配套的技术要求）：</w:t>
            </w:r>
          </w:p>
          <w:p w14:paraId="611EE019">
            <w:pPr>
              <w:widowControl/>
              <w:wordWrap w:val="0"/>
              <w:spacing w:line="240" w:lineRule="exact"/>
              <w:jc w:val="left"/>
              <w:rPr>
                <w:rFonts w:hint="eastAsia" w:ascii="宋体" w:hAnsi="宋体" w:cs="宋体"/>
                <w:b/>
                <w:bCs/>
                <w:color w:val="000000"/>
                <w:kern w:val="0"/>
                <w:sz w:val="18"/>
                <w:szCs w:val="18"/>
              </w:rPr>
            </w:pPr>
            <w:r>
              <w:rPr>
                <w:rFonts w:hint="eastAsia" w:ascii="宋体" w:hAnsi="宋体" w:cs="宋体"/>
                <w:b/>
                <w:bCs/>
                <w:color w:val="000000"/>
                <w:kern w:val="0"/>
                <w:sz w:val="18"/>
                <w:szCs w:val="18"/>
              </w:rPr>
              <w:t>1、拟定开发/配套过程</w:t>
            </w:r>
            <w:r>
              <w:rPr>
                <w:rFonts w:hint="eastAsia" w:ascii="宋体" w:hAnsi="宋体" w:cs="宋体"/>
                <w:b/>
                <w:bCs/>
                <w:color w:val="0000FF"/>
                <w:kern w:val="0"/>
                <w:sz w:val="18"/>
                <w:szCs w:val="18"/>
              </w:rPr>
              <w:t>【包含但不限于技术总协议、开发总体周期及各主要关键节点工作内容&amp;周期&amp;方案】</w:t>
            </w:r>
            <w:r>
              <w:rPr>
                <w:rFonts w:hint="eastAsia" w:ascii="宋体" w:hAnsi="宋体" w:cs="宋体"/>
                <w:b/>
                <w:bCs/>
                <w:color w:val="000000"/>
                <w:kern w:val="0"/>
                <w:sz w:val="18"/>
                <w:szCs w:val="18"/>
              </w:rPr>
              <w:t>；</w:t>
            </w:r>
          </w:p>
          <w:p w14:paraId="7887F7B8">
            <w:pPr>
              <w:widowControl/>
              <w:wordWrap w:val="0"/>
              <w:spacing w:line="240" w:lineRule="exact"/>
              <w:jc w:val="left"/>
              <w:rPr>
                <w:rFonts w:hint="eastAsia" w:ascii="宋体" w:hAnsi="宋体" w:cs="宋体"/>
                <w:b/>
                <w:bCs/>
                <w:color w:val="000000"/>
                <w:kern w:val="0"/>
                <w:sz w:val="18"/>
                <w:szCs w:val="18"/>
              </w:rPr>
            </w:pPr>
            <w:r>
              <w:rPr>
                <w:rFonts w:hint="eastAsia" w:ascii="宋体" w:hAnsi="宋体" w:cs="宋体"/>
                <w:b/>
                <w:bCs/>
                <w:color w:val="000000"/>
                <w:kern w:val="0"/>
                <w:sz w:val="18"/>
                <w:szCs w:val="18"/>
              </w:rPr>
              <w:t>2、产品设计开发&amp;制作程序方案</w:t>
            </w:r>
            <w:r>
              <w:rPr>
                <w:rFonts w:hint="eastAsia" w:ascii="宋体" w:hAnsi="宋体" w:cs="宋体"/>
                <w:b/>
                <w:bCs/>
                <w:color w:val="0000FF"/>
                <w:kern w:val="0"/>
                <w:sz w:val="18"/>
                <w:szCs w:val="18"/>
              </w:rPr>
              <w:t>【程序明确规定各关键节点的接收及确认审批方案流程，包括但不仅限于新产品、新设计、新工艺等，对于顾客要求的更改等】</w:t>
            </w:r>
            <w:r>
              <w:rPr>
                <w:rFonts w:hint="eastAsia" w:ascii="宋体" w:hAnsi="宋体" w:cs="宋体"/>
                <w:b/>
                <w:bCs/>
                <w:color w:val="000000"/>
                <w:kern w:val="0"/>
                <w:sz w:val="18"/>
                <w:szCs w:val="18"/>
              </w:rPr>
              <w:t>；</w:t>
            </w:r>
          </w:p>
          <w:p w14:paraId="1337497A">
            <w:pPr>
              <w:widowControl/>
              <w:wordWrap w:val="0"/>
              <w:spacing w:line="240" w:lineRule="exact"/>
              <w:jc w:val="left"/>
              <w:rPr>
                <w:rFonts w:hint="eastAsia" w:ascii="宋体" w:hAnsi="宋体" w:cs="宋体"/>
                <w:b/>
                <w:bCs/>
                <w:color w:val="000000"/>
                <w:kern w:val="0"/>
                <w:sz w:val="18"/>
                <w:szCs w:val="18"/>
              </w:rPr>
            </w:pPr>
            <w:r>
              <w:rPr>
                <w:rFonts w:hint="eastAsia" w:ascii="宋体" w:hAnsi="宋体" w:cs="宋体"/>
                <w:b/>
                <w:bCs/>
                <w:color w:val="000000"/>
                <w:kern w:val="0"/>
                <w:sz w:val="18"/>
                <w:szCs w:val="18"/>
              </w:rPr>
              <w:t>3、工程设计&amp;样件变更管理方案</w:t>
            </w:r>
            <w:r>
              <w:rPr>
                <w:rFonts w:hint="eastAsia" w:ascii="宋体" w:hAnsi="宋体" w:cs="宋体"/>
                <w:b/>
                <w:bCs/>
                <w:color w:val="0000FF"/>
                <w:kern w:val="0"/>
                <w:sz w:val="18"/>
                <w:szCs w:val="18"/>
              </w:rPr>
              <w:t>【包括但不仅限于对零件图纸和技术规范更新流程，明确相关部门的职责，建立能迅速将规格变更传达给相关部门的组织及流程等】</w:t>
            </w:r>
            <w:r>
              <w:rPr>
                <w:rFonts w:hint="eastAsia" w:ascii="宋体" w:hAnsi="宋体" w:cs="宋体"/>
                <w:b/>
                <w:bCs/>
                <w:color w:val="000000"/>
                <w:kern w:val="0"/>
                <w:sz w:val="18"/>
                <w:szCs w:val="18"/>
              </w:rPr>
              <w:t>；</w:t>
            </w:r>
          </w:p>
          <w:p w14:paraId="3E6BA960">
            <w:pPr>
              <w:widowControl/>
              <w:wordWrap w:val="0"/>
              <w:spacing w:line="240" w:lineRule="exact"/>
              <w:jc w:val="left"/>
              <w:rPr>
                <w:rFonts w:hint="eastAsia" w:ascii="宋体" w:hAnsi="宋体" w:cs="宋体"/>
                <w:b/>
                <w:bCs/>
                <w:color w:val="000000"/>
                <w:kern w:val="0"/>
                <w:sz w:val="18"/>
                <w:szCs w:val="18"/>
              </w:rPr>
            </w:pPr>
            <w:r>
              <w:rPr>
                <w:rFonts w:hint="eastAsia" w:ascii="宋体" w:hAnsi="宋体" w:cs="宋体"/>
                <w:b/>
                <w:bCs/>
                <w:color w:val="000000"/>
                <w:kern w:val="0"/>
                <w:sz w:val="18"/>
                <w:szCs w:val="18"/>
              </w:rPr>
              <w:t>4、图纸、各类技术文件或样件的阶段输出及管理</w:t>
            </w:r>
            <w:bookmarkStart w:id="13" w:name="OLE_LINK73"/>
            <w:r>
              <w:rPr>
                <w:rFonts w:hint="eastAsia" w:ascii="宋体" w:hAnsi="宋体" w:cs="宋体"/>
                <w:b/>
                <w:bCs/>
                <w:color w:val="0000FF"/>
                <w:kern w:val="0"/>
                <w:sz w:val="18"/>
                <w:szCs w:val="18"/>
              </w:rPr>
              <w:t>【如二维图&amp;三维模型-含详细尺寸、产品规格、材质、技术参数、性能曲线，技术&amp;工艺规范、阶段性样件或产品等】</w:t>
            </w:r>
            <w:bookmarkEnd w:id="13"/>
            <w:r>
              <w:rPr>
                <w:rFonts w:hint="eastAsia" w:ascii="宋体" w:hAnsi="宋体" w:cs="宋体"/>
                <w:b/>
                <w:bCs/>
                <w:color w:val="000000"/>
                <w:kern w:val="0"/>
                <w:sz w:val="18"/>
                <w:szCs w:val="18"/>
              </w:rPr>
              <w:t>；</w:t>
            </w:r>
          </w:p>
        </w:tc>
        <w:tc>
          <w:tcPr>
            <w:tcW w:w="605" w:type="pct"/>
            <w:vMerge w:val="continue"/>
            <w:tcBorders>
              <w:top w:val="nil"/>
              <w:left w:val="single" w:color="auto" w:sz="4" w:space="0"/>
              <w:bottom w:val="single" w:color="auto" w:sz="4" w:space="0"/>
              <w:right w:val="single" w:color="auto" w:sz="4" w:space="0"/>
            </w:tcBorders>
            <w:vAlign w:val="center"/>
          </w:tcPr>
          <w:p w14:paraId="434DB040">
            <w:pPr>
              <w:widowControl/>
              <w:wordWrap w:val="0"/>
              <w:spacing w:line="240" w:lineRule="exact"/>
              <w:jc w:val="left"/>
              <w:rPr>
                <w:rFonts w:hint="eastAsia" w:ascii="宋体" w:hAnsi="宋体" w:cs="宋体"/>
                <w:color w:val="000000"/>
                <w:kern w:val="0"/>
                <w:sz w:val="18"/>
                <w:szCs w:val="18"/>
              </w:rPr>
            </w:pPr>
          </w:p>
        </w:tc>
      </w:tr>
      <w:tr w14:paraId="1A57E53E">
        <w:tblPrEx>
          <w:tblCellMar>
            <w:top w:w="0" w:type="dxa"/>
            <w:left w:w="108" w:type="dxa"/>
            <w:bottom w:w="0" w:type="dxa"/>
            <w:right w:w="108" w:type="dxa"/>
          </w:tblCellMar>
        </w:tblPrEx>
        <w:trPr>
          <w:trHeight w:val="20" w:hRule="atLeast"/>
        </w:trPr>
        <w:tc>
          <w:tcPr>
            <w:tcW w:w="161" w:type="pct"/>
            <w:vMerge w:val="continue"/>
            <w:tcBorders>
              <w:top w:val="nil"/>
              <w:left w:val="single" w:color="auto" w:sz="4" w:space="0"/>
              <w:bottom w:val="single" w:color="auto" w:sz="4" w:space="0"/>
              <w:right w:val="single" w:color="auto" w:sz="4" w:space="0"/>
            </w:tcBorders>
            <w:vAlign w:val="center"/>
          </w:tcPr>
          <w:p w14:paraId="4A11DF59">
            <w:pPr>
              <w:widowControl/>
              <w:wordWrap w:val="0"/>
              <w:spacing w:line="240" w:lineRule="exact"/>
              <w:jc w:val="left"/>
              <w:rPr>
                <w:rFonts w:hint="eastAsia" w:ascii="宋体" w:hAnsi="宋体" w:cs="宋体"/>
                <w:b/>
                <w:bCs/>
                <w:color w:val="000000"/>
                <w:kern w:val="0"/>
                <w:sz w:val="18"/>
                <w:szCs w:val="18"/>
              </w:rPr>
            </w:pPr>
          </w:p>
        </w:tc>
        <w:tc>
          <w:tcPr>
            <w:tcW w:w="412" w:type="pct"/>
            <w:vMerge w:val="continue"/>
            <w:tcBorders>
              <w:top w:val="nil"/>
              <w:left w:val="single" w:color="auto" w:sz="4" w:space="0"/>
              <w:bottom w:val="single" w:color="auto" w:sz="4" w:space="0"/>
              <w:right w:val="single" w:color="auto" w:sz="4" w:space="0"/>
            </w:tcBorders>
            <w:vAlign w:val="center"/>
          </w:tcPr>
          <w:p w14:paraId="2AB22383">
            <w:pPr>
              <w:widowControl/>
              <w:wordWrap w:val="0"/>
              <w:spacing w:line="240" w:lineRule="exact"/>
              <w:jc w:val="left"/>
              <w:rPr>
                <w:rFonts w:hint="eastAsia" w:ascii="宋体" w:hAnsi="宋体" w:cs="宋体"/>
                <w:b/>
                <w:bCs/>
                <w:color w:val="000000"/>
                <w:kern w:val="0"/>
                <w:sz w:val="18"/>
                <w:szCs w:val="18"/>
              </w:rPr>
            </w:pPr>
          </w:p>
        </w:tc>
        <w:tc>
          <w:tcPr>
            <w:tcW w:w="820" w:type="pct"/>
            <w:tcBorders>
              <w:top w:val="nil"/>
              <w:left w:val="nil"/>
              <w:bottom w:val="single" w:color="auto" w:sz="4" w:space="0"/>
              <w:right w:val="single" w:color="auto" w:sz="4" w:space="0"/>
            </w:tcBorders>
            <w:vAlign w:val="center"/>
          </w:tcPr>
          <w:p w14:paraId="0F092BB0">
            <w:pPr>
              <w:widowControl/>
              <w:wordWrap w:val="0"/>
              <w:spacing w:line="240" w:lineRule="exact"/>
              <w:jc w:val="center"/>
              <w:rPr>
                <w:rFonts w:hint="eastAsia" w:ascii="宋体" w:hAnsi="宋体" w:cs="宋体"/>
                <w:b/>
                <w:bCs/>
                <w:color w:val="000000"/>
                <w:kern w:val="0"/>
                <w:sz w:val="18"/>
                <w:szCs w:val="18"/>
              </w:rPr>
            </w:pPr>
            <w:r>
              <w:rPr>
                <w:rFonts w:hint="eastAsia" w:ascii="宋体" w:hAnsi="宋体" w:cs="宋体"/>
                <w:b/>
                <w:bCs/>
                <w:color w:val="000000"/>
                <w:kern w:val="0"/>
                <w:sz w:val="18"/>
                <w:szCs w:val="18"/>
              </w:rPr>
              <w:t>生产（设计实现）工艺流程</w:t>
            </w:r>
          </w:p>
        </w:tc>
        <w:tc>
          <w:tcPr>
            <w:tcW w:w="325" w:type="pct"/>
            <w:tcBorders>
              <w:top w:val="nil"/>
              <w:left w:val="nil"/>
              <w:bottom w:val="single" w:color="auto" w:sz="4" w:space="0"/>
              <w:right w:val="single" w:color="auto" w:sz="4" w:space="0"/>
            </w:tcBorders>
            <w:vAlign w:val="center"/>
          </w:tcPr>
          <w:p w14:paraId="6DDDC345">
            <w:pPr>
              <w:widowControl/>
              <w:wordWrap w:val="0"/>
              <w:spacing w:line="240" w:lineRule="exact"/>
              <w:jc w:val="center"/>
              <w:rPr>
                <w:rFonts w:hint="eastAsia" w:ascii="宋体" w:hAnsi="宋体" w:cs="宋体"/>
                <w:b/>
                <w:bCs/>
                <w:color w:val="000000"/>
                <w:kern w:val="0"/>
                <w:sz w:val="18"/>
                <w:szCs w:val="18"/>
              </w:rPr>
            </w:pPr>
            <w:r>
              <w:rPr>
                <w:rFonts w:hint="eastAsia" w:ascii="宋体" w:hAnsi="宋体" w:cs="宋体"/>
                <w:b/>
                <w:bCs/>
                <w:color w:val="000000"/>
                <w:kern w:val="0"/>
                <w:sz w:val="18"/>
                <w:szCs w:val="18"/>
              </w:rPr>
              <w:t>★</w:t>
            </w:r>
          </w:p>
        </w:tc>
        <w:tc>
          <w:tcPr>
            <w:tcW w:w="2675" w:type="pct"/>
            <w:tcBorders>
              <w:top w:val="nil"/>
              <w:left w:val="nil"/>
              <w:bottom w:val="single" w:color="auto" w:sz="4" w:space="0"/>
              <w:right w:val="single" w:color="auto" w:sz="4" w:space="0"/>
            </w:tcBorders>
            <w:vAlign w:val="center"/>
          </w:tcPr>
          <w:p w14:paraId="6F992114">
            <w:pPr>
              <w:widowControl/>
              <w:wordWrap w:val="0"/>
              <w:spacing w:line="240" w:lineRule="exact"/>
              <w:jc w:val="left"/>
              <w:rPr>
                <w:rFonts w:hint="eastAsia" w:ascii="宋体" w:hAnsi="宋体" w:cs="宋体"/>
                <w:b/>
                <w:bCs/>
                <w:color w:val="000000"/>
                <w:kern w:val="0"/>
                <w:sz w:val="18"/>
                <w:szCs w:val="18"/>
              </w:rPr>
            </w:pPr>
            <w:bookmarkStart w:id="14" w:name="OLE_LINK64"/>
            <w:r>
              <w:rPr>
                <w:rFonts w:hint="eastAsia" w:ascii="宋体" w:hAnsi="宋体" w:cs="宋体"/>
                <w:b/>
                <w:bCs/>
                <w:color w:val="000000"/>
                <w:kern w:val="0"/>
                <w:sz w:val="18"/>
                <w:szCs w:val="18"/>
              </w:rPr>
              <w:t>提供相应的生产（设计实现）工艺【如流程图、工艺介绍、关键节点、关键工艺管控和关键设备清单】</w:t>
            </w:r>
            <w:bookmarkEnd w:id="14"/>
          </w:p>
        </w:tc>
        <w:tc>
          <w:tcPr>
            <w:tcW w:w="605" w:type="pct"/>
            <w:vMerge w:val="continue"/>
            <w:tcBorders>
              <w:top w:val="nil"/>
              <w:left w:val="single" w:color="auto" w:sz="4" w:space="0"/>
              <w:bottom w:val="single" w:color="auto" w:sz="4" w:space="0"/>
              <w:right w:val="single" w:color="auto" w:sz="4" w:space="0"/>
            </w:tcBorders>
            <w:vAlign w:val="center"/>
          </w:tcPr>
          <w:p w14:paraId="6096F593">
            <w:pPr>
              <w:widowControl/>
              <w:wordWrap w:val="0"/>
              <w:spacing w:line="240" w:lineRule="exact"/>
              <w:jc w:val="left"/>
              <w:rPr>
                <w:rFonts w:hint="eastAsia" w:ascii="宋体" w:hAnsi="宋体" w:cs="宋体"/>
                <w:color w:val="000000"/>
                <w:kern w:val="0"/>
                <w:sz w:val="18"/>
                <w:szCs w:val="18"/>
              </w:rPr>
            </w:pPr>
          </w:p>
        </w:tc>
      </w:tr>
      <w:tr w14:paraId="08DE8FF8">
        <w:tblPrEx>
          <w:tblCellMar>
            <w:top w:w="0" w:type="dxa"/>
            <w:left w:w="108" w:type="dxa"/>
            <w:bottom w:w="0" w:type="dxa"/>
            <w:right w:w="108" w:type="dxa"/>
          </w:tblCellMar>
        </w:tblPrEx>
        <w:trPr>
          <w:trHeight w:val="20" w:hRule="atLeast"/>
        </w:trPr>
        <w:tc>
          <w:tcPr>
            <w:tcW w:w="161" w:type="pct"/>
            <w:vMerge w:val="continue"/>
            <w:tcBorders>
              <w:top w:val="nil"/>
              <w:left w:val="single" w:color="auto" w:sz="4" w:space="0"/>
              <w:bottom w:val="single" w:color="auto" w:sz="4" w:space="0"/>
              <w:right w:val="single" w:color="auto" w:sz="4" w:space="0"/>
            </w:tcBorders>
            <w:vAlign w:val="center"/>
          </w:tcPr>
          <w:p w14:paraId="39023106">
            <w:pPr>
              <w:widowControl/>
              <w:wordWrap w:val="0"/>
              <w:spacing w:line="240" w:lineRule="exact"/>
              <w:jc w:val="left"/>
              <w:rPr>
                <w:rFonts w:hint="eastAsia" w:ascii="宋体" w:hAnsi="宋体" w:cs="宋体"/>
                <w:b/>
                <w:bCs/>
                <w:color w:val="000000"/>
                <w:kern w:val="0"/>
                <w:sz w:val="18"/>
                <w:szCs w:val="18"/>
              </w:rPr>
            </w:pPr>
          </w:p>
        </w:tc>
        <w:tc>
          <w:tcPr>
            <w:tcW w:w="412" w:type="pct"/>
            <w:vMerge w:val="continue"/>
            <w:tcBorders>
              <w:top w:val="nil"/>
              <w:left w:val="single" w:color="auto" w:sz="4" w:space="0"/>
              <w:bottom w:val="single" w:color="auto" w:sz="4" w:space="0"/>
              <w:right w:val="single" w:color="auto" w:sz="4" w:space="0"/>
            </w:tcBorders>
            <w:vAlign w:val="center"/>
          </w:tcPr>
          <w:p w14:paraId="241F812F">
            <w:pPr>
              <w:widowControl/>
              <w:wordWrap w:val="0"/>
              <w:spacing w:line="240" w:lineRule="exact"/>
              <w:jc w:val="left"/>
              <w:rPr>
                <w:rFonts w:hint="eastAsia" w:ascii="宋体" w:hAnsi="宋体" w:cs="宋体"/>
                <w:b/>
                <w:bCs/>
                <w:color w:val="000000"/>
                <w:kern w:val="0"/>
                <w:sz w:val="18"/>
                <w:szCs w:val="18"/>
              </w:rPr>
            </w:pPr>
          </w:p>
        </w:tc>
        <w:tc>
          <w:tcPr>
            <w:tcW w:w="820" w:type="pct"/>
            <w:tcBorders>
              <w:top w:val="nil"/>
              <w:left w:val="nil"/>
              <w:bottom w:val="single" w:color="auto" w:sz="4" w:space="0"/>
              <w:right w:val="single" w:color="auto" w:sz="4" w:space="0"/>
            </w:tcBorders>
            <w:vAlign w:val="center"/>
          </w:tcPr>
          <w:p w14:paraId="67AB9EEB">
            <w:pPr>
              <w:widowControl/>
              <w:wordWrap w:val="0"/>
              <w:spacing w:line="240" w:lineRule="exact"/>
              <w:jc w:val="center"/>
              <w:rPr>
                <w:rFonts w:hint="eastAsia" w:ascii="宋体" w:hAnsi="宋体" w:cs="宋体"/>
                <w:b/>
                <w:bCs/>
                <w:color w:val="000000"/>
                <w:kern w:val="0"/>
                <w:sz w:val="18"/>
                <w:szCs w:val="18"/>
              </w:rPr>
            </w:pPr>
            <w:r>
              <w:rPr>
                <w:rFonts w:hint="eastAsia" w:ascii="宋体" w:hAnsi="宋体" w:cs="宋体"/>
                <w:b/>
                <w:bCs/>
                <w:color w:val="000000"/>
                <w:kern w:val="0"/>
                <w:sz w:val="18"/>
                <w:szCs w:val="18"/>
              </w:rPr>
              <w:t>技术改进</w:t>
            </w:r>
          </w:p>
        </w:tc>
        <w:tc>
          <w:tcPr>
            <w:tcW w:w="325" w:type="pct"/>
            <w:tcBorders>
              <w:top w:val="nil"/>
              <w:left w:val="nil"/>
              <w:bottom w:val="single" w:color="auto" w:sz="4" w:space="0"/>
              <w:right w:val="single" w:color="auto" w:sz="4" w:space="0"/>
            </w:tcBorders>
            <w:vAlign w:val="center"/>
          </w:tcPr>
          <w:p w14:paraId="3DFC9C13">
            <w:pPr>
              <w:widowControl/>
              <w:wordWrap w:val="0"/>
              <w:spacing w:line="240" w:lineRule="exact"/>
              <w:jc w:val="center"/>
              <w:rPr>
                <w:rFonts w:hint="eastAsia" w:ascii="宋体" w:hAnsi="宋体" w:cs="宋体"/>
                <w:b/>
                <w:bCs/>
                <w:color w:val="000000"/>
                <w:kern w:val="0"/>
                <w:sz w:val="18"/>
                <w:szCs w:val="18"/>
              </w:rPr>
            </w:pPr>
            <w:r>
              <w:rPr>
                <w:rFonts w:hint="eastAsia" w:ascii="宋体" w:hAnsi="宋体" w:cs="宋体"/>
                <w:b/>
                <w:bCs/>
                <w:color w:val="000000"/>
                <w:kern w:val="0"/>
                <w:sz w:val="18"/>
                <w:szCs w:val="18"/>
              </w:rPr>
              <w:t>★</w:t>
            </w:r>
          </w:p>
        </w:tc>
        <w:tc>
          <w:tcPr>
            <w:tcW w:w="2675" w:type="pct"/>
            <w:tcBorders>
              <w:top w:val="nil"/>
              <w:left w:val="nil"/>
              <w:bottom w:val="single" w:color="auto" w:sz="4" w:space="0"/>
              <w:right w:val="single" w:color="auto" w:sz="4" w:space="0"/>
            </w:tcBorders>
            <w:vAlign w:val="center"/>
          </w:tcPr>
          <w:p w14:paraId="44AB1860">
            <w:pPr>
              <w:widowControl/>
              <w:wordWrap w:val="0"/>
              <w:spacing w:line="240" w:lineRule="exact"/>
              <w:jc w:val="left"/>
              <w:rPr>
                <w:rFonts w:hint="eastAsia" w:ascii="宋体" w:hAnsi="宋体" w:cs="宋体"/>
                <w:b/>
                <w:bCs/>
                <w:color w:val="000000"/>
                <w:kern w:val="0"/>
                <w:sz w:val="18"/>
                <w:szCs w:val="18"/>
              </w:rPr>
            </w:pPr>
            <w:r>
              <w:rPr>
                <w:rFonts w:hint="eastAsia" w:ascii="宋体" w:hAnsi="宋体" w:cs="宋体"/>
                <w:b/>
                <w:bCs/>
                <w:color w:val="000000"/>
                <w:kern w:val="0"/>
                <w:sz w:val="18"/>
                <w:szCs w:val="18"/>
              </w:rPr>
              <w:t>1、积极配合及响应需求技术部门的新技术开发、新状态变更、优化改进，联合试制试验的承诺函；</w:t>
            </w:r>
          </w:p>
          <w:p w14:paraId="72D2EEDE">
            <w:pPr>
              <w:widowControl/>
              <w:wordWrap w:val="0"/>
              <w:spacing w:line="240" w:lineRule="exact"/>
              <w:jc w:val="left"/>
              <w:rPr>
                <w:rFonts w:hint="eastAsia" w:ascii="宋体" w:hAnsi="宋体" w:cs="宋体"/>
                <w:b/>
                <w:bCs/>
                <w:color w:val="000000"/>
                <w:kern w:val="0"/>
                <w:sz w:val="18"/>
                <w:szCs w:val="18"/>
              </w:rPr>
            </w:pPr>
            <w:r>
              <w:rPr>
                <w:rFonts w:hint="eastAsia" w:ascii="宋体" w:hAnsi="宋体" w:cs="宋体"/>
                <w:b/>
                <w:bCs/>
                <w:color w:val="000000"/>
                <w:kern w:val="0"/>
                <w:sz w:val="18"/>
                <w:szCs w:val="18"/>
              </w:rPr>
              <w:t>2、及时提供行业先进技术，联合开发推广的承诺函；</w:t>
            </w:r>
          </w:p>
          <w:p w14:paraId="6969E36A">
            <w:pPr>
              <w:widowControl/>
              <w:wordWrap w:val="0"/>
              <w:spacing w:line="240" w:lineRule="exact"/>
              <w:jc w:val="left"/>
              <w:rPr>
                <w:rFonts w:hint="eastAsia" w:ascii="宋体" w:hAnsi="宋体" w:cs="宋体"/>
                <w:b/>
                <w:bCs/>
                <w:color w:val="000000"/>
                <w:kern w:val="0"/>
                <w:sz w:val="18"/>
                <w:szCs w:val="18"/>
              </w:rPr>
            </w:pPr>
            <w:r>
              <w:rPr>
                <w:rFonts w:hint="eastAsia" w:ascii="宋体" w:hAnsi="宋体" w:cs="宋体"/>
                <w:b/>
                <w:bCs/>
                <w:color w:val="000000"/>
                <w:kern w:val="0"/>
                <w:sz w:val="18"/>
                <w:szCs w:val="18"/>
              </w:rPr>
              <w:t>3、近</w:t>
            </w:r>
            <w:r>
              <w:rPr>
                <w:rFonts w:hint="eastAsia" w:ascii="宋体" w:hAnsi="宋体" w:cs="宋体"/>
                <w:b/>
                <w:bCs/>
                <w:color w:val="000000"/>
                <w:kern w:val="0"/>
                <w:sz w:val="18"/>
                <w:szCs w:val="18"/>
                <w:lang w:val="en-US" w:eastAsia="zh-CN"/>
              </w:rPr>
              <w:t>3</w:t>
            </w:r>
            <w:r>
              <w:rPr>
                <w:rFonts w:hint="eastAsia" w:ascii="宋体" w:hAnsi="宋体" w:cs="宋体"/>
                <w:b/>
                <w:bCs/>
                <w:color w:val="000000"/>
                <w:kern w:val="0"/>
                <w:sz w:val="18"/>
                <w:szCs w:val="18"/>
              </w:rPr>
              <w:t>年（20</w:t>
            </w:r>
            <w:r>
              <w:rPr>
                <w:rFonts w:hint="eastAsia" w:ascii="宋体" w:hAnsi="宋体" w:cs="宋体"/>
                <w:b/>
                <w:bCs/>
                <w:color w:val="000000"/>
                <w:kern w:val="0"/>
                <w:sz w:val="18"/>
                <w:szCs w:val="18"/>
                <w:lang w:val="en-US" w:eastAsia="zh-CN"/>
              </w:rPr>
              <w:t>23</w:t>
            </w:r>
            <w:r>
              <w:rPr>
                <w:rFonts w:hint="eastAsia" w:ascii="宋体" w:hAnsi="宋体" w:cs="宋体"/>
                <w:b/>
                <w:bCs/>
                <w:color w:val="000000"/>
                <w:kern w:val="0"/>
                <w:sz w:val="18"/>
                <w:szCs w:val="18"/>
              </w:rPr>
              <w:t xml:space="preserve"> -20</w:t>
            </w:r>
            <w:r>
              <w:rPr>
                <w:rFonts w:hint="eastAsia" w:ascii="宋体" w:hAnsi="宋体" w:cs="宋体"/>
                <w:b/>
                <w:bCs/>
                <w:color w:val="000000"/>
                <w:kern w:val="0"/>
                <w:sz w:val="18"/>
                <w:szCs w:val="18"/>
                <w:lang w:val="en-US" w:eastAsia="zh-CN"/>
              </w:rPr>
              <w:t>25</w:t>
            </w:r>
            <w:r>
              <w:rPr>
                <w:rFonts w:hint="eastAsia" w:ascii="宋体" w:hAnsi="宋体" w:cs="宋体"/>
                <w:b/>
                <w:bCs/>
                <w:color w:val="000000"/>
                <w:kern w:val="0"/>
                <w:sz w:val="18"/>
                <w:szCs w:val="18"/>
              </w:rPr>
              <w:t>年度）技术/服务改进&amp;创新投入支出情况年度列表-公司盖章；</w:t>
            </w:r>
          </w:p>
        </w:tc>
        <w:tc>
          <w:tcPr>
            <w:tcW w:w="605" w:type="pct"/>
            <w:vMerge w:val="continue"/>
            <w:tcBorders>
              <w:top w:val="nil"/>
              <w:left w:val="single" w:color="auto" w:sz="4" w:space="0"/>
              <w:bottom w:val="single" w:color="auto" w:sz="4" w:space="0"/>
              <w:right w:val="single" w:color="auto" w:sz="4" w:space="0"/>
            </w:tcBorders>
            <w:vAlign w:val="center"/>
          </w:tcPr>
          <w:p w14:paraId="1E464555">
            <w:pPr>
              <w:widowControl/>
              <w:wordWrap w:val="0"/>
              <w:spacing w:line="240" w:lineRule="exact"/>
              <w:jc w:val="left"/>
              <w:rPr>
                <w:rFonts w:hint="eastAsia" w:ascii="宋体" w:hAnsi="宋体" w:cs="宋体"/>
                <w:color w:val="000000"/>
                <w:kern w:val="0"/>
                <w:sz w:val="18"/>
                <w:szCs w:val="18"/>
              </w:rPr>
            </w:pPr>
          </w:p>
        </w:tc>
      </w:tr>
      <w:tr w14:paraId="462746D0">
        <w:tblPrEx>
          <w:tblCellMar>
            <w:top w:w="0" w:type="dxa"/>
            <w:left w:w="108" w:type="dxa"/>
            <w:bottom w:w="0" w:type="dxa"/>
            <w:right w:w="108" w:type="dxa"/>
          </w:tblCellMar>
        </w:tblPrEx>
        <w:trPr>
          <w:trHeight w:val="20" w:hRule="atLeast"/>
        </w:trPr>
        <w:tc>
          <w:tcPr>
            <w:tcW w:w="161" w:type="pct"/>
            <w:vMerge w:val="continue"/>
            <w:tcBorders>
              <w:top w:val="nil"/>
              <w:left w:val="single" w:color="auto" w:sz="4" w:space="0"/>
              <w:bottom w:val="single" w:color="auto" w:sz="4" w:space="0"/>
              <w:right w:val="single" w:color="auto" w:sz="4" w:space="0"/>
            </w:tcBorders>
            <w:vAlign w:val="center"/>
          </w:tcPr>
          <w:p w14:paraId="5D45D883">
            <w:pPr>
              <w:widowControl/>
              <w:wordWrap w:val="0"/>
              <w:spacing w:line="240" w:lineRule="exact"/>
              <w:jc w:val="left"/>
              <w:rPr>
                <w:rFonts w:hint="eastAsia" w:ascii="宋体" w:hAnsi="宋体" w:cs="宋体"/>
                <w:b/>
                <w:bCs/>
                <w:color w:val="000000"/>
                <w:kern w:val="0"/>
                <w:sz w:val="18"/>
                <w:szCs w:val="18"/>
              </w:rPr>
            </w:pPr>
          </w:p>
        </w:tc>
        <w:tc>
          <w:tcPr>
            <w:tcW w:w="412" w:type="pct"/>
            <w:vMerge w:val="continue"/>
            <w:tcBorders>
              <w:top w:val="nil"/>
              <w:left w:val="single" w:color="auto" w:sz="4" w:space="0"/>
              <w:bottom w:val="single" w:color="auto" w:sz="4" w:space="0"/>
              <w:right w:val="single" w:color="auto" w:sz="4" w:space="0"/>
            </w:tcBorders>
            <w:vAlign w:val="center"/>
          </w:tcPr>
          <w:p w14:paraId="5B8FF500">
            <w:pPr>
              <w:widowControl/>
              <w:wordWrap w:val="0"/>
              <w:spacing w:line="240" w:lineRule="exact"/>
              <w:jc w:val="left"/>
              <w:rPr>
                <w:rFonts w:hint="eastAsia" w:ascii="宋体" w:hAnsi="宋体" w:cs="宋体"/>
                <w:b/>
                <w:bCs/>
                <w:color w:val="000000"/>
                <w:kern w:val="0"/>
                <w:sz w:val="18"/>
                <w:szCs w:val="18"/>
              </w:rPr>
            </w:pPr>
          </w:p>
        </w:tc>
        <w:tc>
          <w:tcPr>
            <w:tcW w:w="820" w:type="pct"/>
            <w:tcBorders>
              <w:top w:val="nil"/>
              <w:left w:val="nil"/>
              <w:bottom w:val="single" w:color="auto" w:sz="4" w:space="0"/>
              <w:right w:val="single" w:color="auto" w:sz="4" w:space="0"/>
            </w:tcBorders>
            <w:vAlign w:val="center"/>
          </w:tcPr>
          <w:p w14:paraId="290F8B5C">
            <w:pPr>
              <w:widowControl/>
              <w:wordWrap w:val="0"/>
              <w:spacing w:line="240" w:lineRule="exact"/>
              <w:jc w:val="center"/>
              <w:rPr>
                <w:rFonts w:hint="eastAsia" w:ascii="宋体" w:hAnsi="宋体" w:cs="宋体"/>
                <w:b/>
                <w:bCs/>
                <w:color w:val="000000"/>
                <w:kern w:val="0"/>
                <w:sz w:val="18"/>
                <w:szCs w:val="18"/>
              </w:rPr>
            </w:pPr>
            <w:r>
              <w:rPr>
                <w:rFonts w:hint="eastAsia" w:ascii="宋体" w:hAnsi="宋体" w:cs="宋体"/>
                <w:b/>
                <w:bCs/>
                <w:color w:val="000000"/>
                <w:kern w:val="0"/>
                <w:sz w:val="18"/>
                <w:szCs w:val="18"/>
              </w:rPr>
              <w:t>技术加分项-</w:t>
            </w:r>
          </w:p>
          <w:p w14:paraId="516B93F2">
            <w:pPr>
              <w:widowControl/>
              <w:wordWrap w:val="0"/>
              <w:spacing w:line="240" w:lineRule="exact"/>
              <w:jc w:val="center"/>
              <w:rPr>
                <w:rFonts w:hint="eastAsia" w:ascii="宋体" w:hAnsi="宋体" w:cs="宋体"/>
                <w:b/>
                <w:bCs/>
                <w:color w:val="000000"/>
                <w:kern w:val="0"/>
                <w:sz w:val="18"/>
                <w:szCs w:val="18"/>
                <w:highlight w:val="yellow"/>
              </w:rPr>
            </w:pPr>
            <w:r>
              <w:rPr>
                <w:rFonts w:hint="eastAsia" w:ascii="宋体" w:hAnsi="宋体" w:cs="宋体"/>
                <w:b/>
                <w:bCs/>
                <w:color w:val="000000"/>
                <w:kern w:val="0"/>
                <w:sz w:val="18"/>
                <w:szCs w:val="18"/>
              </w:rPr>
              <w:t>（技术企业核心竞争力及知识产权能力）</w:t>
            </w:r>
          </w:p>
        </w:tc>
        <w:tc>
          <w:tcPr>
            <w:tcW w:w="325" w:type="pct"/>
            <w:tcBorders>
              <w:top w:val="nil"/>
              <w:left w:val="nil"/>
              <w:bottom w:val="single" w:color="auto" w:sz="4" w:space="0"/>
              <w:right w:val="single" w:color="auto" w:sz="4" w:space="0"/>
            </w:tcBorders>
            <w:vAlign w:val="center"/>
          </w:tcPr>
          <w:p w14:paraId="27178102">
            <w:pPr>
              <w:widowControl/>
              <w:wordWrap w:val="0"/>
              <w:spacing w:line="240" w:lineRule="exact"/>
              <w:jc w:val="center"/>
              <w:rPr>
                <w:rFonts w:hint="eastAsia" w:ascii="宋体" w:hAnsi="宋体" w:cs="宋体"/>
                <w:b/>
                <w:bCs/>
                <w:color w:val="000000"/>
                <w:kern w:val="0"/>
                <w:sz w:val="18"/>
                <w:szCs w:val="18"/>
                <w:highlight w:val="yellow"/>
              </w:rPr>
            </w:pPr>
            <w:r>
              <w:rPr>
                <w:rFonts w:hint="eastAsia" w:ascii="宋体" w:hAnsi="宋体" w:cs="宋体"/>
                <w:b/>
                <w:bCs/>
                <w:color w:val="000000"/>
                <w:kern w:val="0"/>
                <w:sz w:val="18"/>
                <w:szCs w:val="18"/>
              </w:rPr>
              <w:t>▲</w:t>
            </w:r>
          </w:p>
        </w:tc>
        <w:tc>
          <w:tcPr>
            <w:tcW w:w="2675" w:type="pct"/>
            <w:tcBorders>
              <w:top w:val="nil"/>
              <w:left w:val="nil"/>
              <w:bottom w:val="single" w:color="auto" w:sz="4" w:space="0"/>
              <w:right w:val="single" w:color="auto" w:sz="4" w:space="0"/>
            </w:tcBorders>
            <w:vAlign w:val="center"/>
          </w:tcPr>
          <w:p w14:paraId="73820F48">
            <w:pPr>
              <w:widowControl/>
              <w:wordWrap w:val="0"/>
              <w:spacing w:line="240" w:lineRule="exact"/>
              <w:jc w:val="left"/>
              <w:rPr>
                <w:rFonts w:hint="eastAsia" w:ascii="宋体" w:hAnsi="宋体" w:cs="宋体"/>
                <w:b/>
                <w:bCs/>
                <w:color w:val="000000"/>
                <w:kern w:val="0"/>
                <w:sz w:val="18"/>
                <w:szCs w:val="18"/>
              </w:rPr>
            </w:pPr>
            <w:r>
              <w:rPr>
                <w:rFonts w:hint="eastAsia" w:ascii="宋体" w:hAnsi="宋体" w:cs="宋体"/>
                <w:b/>
                <w:bCs/>
                <w:color w:val="000000"/>
                <w:kern w:val="0"/>
                <w:sz w:val="18"/>
                <w:szCs w:val="18"/>
              </w:rPr>
              <w:t>1、与项目相关的发明专利、实用新型专利、外观专利等；</w:t>
            </w:r>
          </w:p>
          <w:p w14:paraId="2B8C96E1">
            <w:pPr>
              <w:widowControl/>
              <w:wordWrap w:val="0"/>
              <w:spacing w:line="240" w:lineRule="exact"/>
              <w:jc w:val="left"/>
              <w:rPr>
                <w:rFonts w:hint="eastAsia" w:ascii="宋体" w:hAnsi="宋体" w:cs="宋体"/>
                <w:b/>
                <w:bCs/>
                <w:color w:val="000000"/>
                <w:kern w:val="0"/>
                <w:sz w:val="18"/>
                <w:szCs w:val="18"/>
              </w:rPr>
            </w:pPr>
            <w:r>
              <w:rPr>
                <w:rFonts w:hint="eastAsia" w:ascii="宋体" w:hAnsi="宋体" w:cs="宋体"/>
                <w:b/>
                <w:bCs/>
                <w:color w:val="000000"/>
                <w:kern w:val="0"/>
                <w:sz w:val="18"/>
                <w:szCs w:val="18"/>
              </w:rPr>
              <w:t>2、相应行业、国家规范起草者等技术创新&amp;知识产权能力证明材料等；</w:t>
            </w:r>
          </w:p>
        </w:tc>
        <w:tc>
          <w:tcPr>
            <w:tcW w:w="605" w:type="pct"/>
            <w:vMerge w:val="continue"/>
            <w:tcBorders>
              <w:top w:val="nil"/>
              <w:left w:val="single" w:color="auto" w:sz="4" w:space="0"/>
              <w:bottom w:val="single" w:color="auto" w:sz="4" w:space="0"/>
              <w:right w:val="single" w:color="auto" w:sz="4" w:space="0"/>
            </w:tcBorders>
            <w:vAlign w:val="center"/>
          </w:tcPr>
          <w:p w14:paraId="4B84F13B">
            <w:pPr>
              <w:widowControl/>
              <w:wordWrap w:val="0"/>
              <w:spacing w:line="240" w:lineRule="exact"/>
              <w:jc w:val="left"/>
              <w:rPr>
                <w:rFonts w:hint="eastAsia" w:ascii="宋体" w:hAnsi="宋体" w:cs="宋体"/>
                <w:color w:val="000000"/>
                <w:kern w:val="0"/>
                <w:sz w:val="18"/>
                <w:szCs w:val="18"/>
              </w:rPr>
            </w:pPr>
          </w:p>
        </w:tc>
      </w:tr>
      <w:tr w14:paraId="33FAC9F2">
        <w:tblPrEx>
          <w:tblCellMar>
            <w:top w:w="0" w:type="dxa"/>
            <w:left w:w="108" w:type="dxa"/>
            <w:bottom w:w="0" w:type="dxa"/>
            <w:right w:w="108" w:type="dxa"/>
          </w:tblCellMar>
        </w:tblPrEx>
        <w:trPr>
          <w:trHeight w:val="20" w:hRule="atLeast"/>
        </w:trPr>
        <w:tc>
          <w:tcPr>
            <w:tcW w:w="161" w:type="pct"/>
            <w:vMerge w:val="restart"/>
            <w:tcBorders>
              <w:top w:val="nil"/>
              <w:left w:val="single" w:color="auto" w:sz="4" w:space="0"/>
              <w:bottom w:val="single" w:color="auto" w:sz="4" w:space="0"/>
              <w:right w:val="single" w:color="auto" w:sz="4" w:space="0"/>
            </w:tcBorders>
            <w:vAlign w:val="center"/>
          </w:tcPr>
          <w:p w14:paraId="6BD4865B">
            <w:pPr>
              <w:widowControl/>
              <w:wordWrap w:val="0"/>
              <w:spacing w:line="240" w:lineRule="exact"/>
              <w:jc w:val="center"/>
              <w:rPr>
                <w:rFonts w:hint="eastAsia" w:ascii="宋体" w:hAnsi="宋体" w:cs="宋体"/>
                <w:b/>
                <w:bCs/>
                <w:color w:val="000000"/>
                <w:kern w:val="0"/>
                <w:sz w:val="18"/>
                <w:szCs w:val="18"/>
              </w:rPr>
            </w:pPr>
            <w:r>
              <w:rPr>
                <w:rFonts w:hint="eastAsia" w:ascii="宋体" w:hAnsi="宋体" w:cs="宋体"/>
                <w:b/>
                <w:bCs/>
                <w:color w:val="000000"/>
                <w:kern w:val="0"/>
                <w:sz w:val="18"/>
                <w:szCs w:val="18"/>
              </w:rPr>
              <w:t>2</w:t>
            </w:r>
          </w:p>
        </w:tc>
        <w:tc>
          <w:tcPr>
            <w:tcW w:w="412" w:type="pct"/>
            <w:vMerge w:val="restart"/>
            <w:tcBorders>
              <w:top w:val="nil"/>
              <w:left w:val="single" w:color="auto" w:sz="4" w:space="0"/>
              <w:bottom w:val="single" w:color="auto" w:sz="4" w:space="0"/>
              <w:right w:val="single" w:color="auto" w:sz="4" w:space="0"/>
            </w:tcBorders>
            <w:vAlign w:val="center"/>
          </w:tcPr>
          <w:p w14:paraId="5333475F">
            <w:pPr>
              <w:widowControl/>
              <w:wordWrap w:val="0"/>
              <w:spacing w:line="240" w:lineRule="exact"/>
              <w:jc w:val="center"/>
              <w:rPr>
                <w:rFonts w:hint="eastAsia" w:ascii="宋体" w:hAnsi="宋体" w:cs="宋体"/>
                <w:b/>
                <w:bCs/>
                <w:color w:val="000000"/>
                <w:kern w:val="0"/>
                <w:sz w:val="18"/>
                <w:szCs w:val="18"/>
              </w:rPr>
            </w:pPr>
            <w:r>
              <w:rPr>
                <w:rFonts w:hint="eastAsia" w:ascii="宋体" w:hAnsi="宋体" w:cs="宋体"/>
                <w:b/>
                <w:bCs/>
                <w:color w:val="000000"/>
                <w:kern w:val="0"/>
                <w:sz w:val="18"/>
                <w:szCs w:val="18"/>
              </w:rPr>
              <w:t>品质Q</w:t>
            </w:r>
          </w:p>
        </w:tc>
        <w:tc>
          <w:tcPr>
            <w:tcW w:w="820" w:type="pct"/>
            <w:tcBorders>
              <w:top w:val="nil"/>
              <w:left w:val="nil"/>
              <w:bottom w:val="single" w:color="auto" w:sz="4" w:space="0"/>
              <w:right w:val="single" w:color="auto" w:sz="4" w:space="0"/>
            </w:tcBorders>
            <w:vAlign w:val="center"/>
          </w:tcPr>
          <w:p w14:paraId="7145DA28">
            <w:pPr>
              <w:widowControl/>
              <w:wordWrap w:val="0"/>
              <w:spacing w:line="240" w:lineRule="exact"/>
              <w:jc w:val="center"/>
              <w:rPr>
                <w:rFonts w:hint="eastAsia" w:ascii="宋体" w:hAnsi="宋体" w:cs="宋体"/>
                <w:b/>
                <w:bCs/>
                <w:color w:val="000000"/>
                <w:kern w:val="0"/>
                <w:sz w:val="18"/>
                <w:szCs w:val="18"/>
              </w:rPr>
            </w:pPr>
            <w:r>
              <w:rPr>
                <w:rFonts w:hint="eastAsia" w:ascii="宋体" w:hAnsi="宋体" w:cs="宋体"/>
                <w:b/>
                <w:bCs/>
                <w:color w:val="000000"/>
                <w:kern w:val="0"/>
                <w:sz w:val="18"/>
                <w:szCs w:val="18"/>
              </w:rPr>
              <w:t>品质保证体系及执行</w:t>
            </w:r>
          </w:p>
        </w:tc>
        <w:tc>
          <w:tcPr>
            <w:tcW w:w="325" w:type="pct"/>
            <w:tcBorders>
              <w:top w:val="nil"/>
              <w:left w:val="nil"/>
              <w:bottom w:val="single" w:color="auto" w:sz="4" w:space="0"/>
              <w:right w:val="single" w:color="auto" w:sz="4" w:space="0"/>
            </w:tcBorders>
            <w:vAlign w:val="center"/>
          </w:tcPr>
          <w:p w14:paraId="1FCF17C9">
            <w:pPr>
              <w:widowControl/>
              <w:wordWrap w:val="0"/>
              <w:spacing w:line="240" w:lineRule="exact"/>
              <w:jc w:val="center"/>
              <w:rPr>
                <w:rFonts w:hint="eastAsia" w:ascii="宋体" w:hAnsi="宋体" w:cs="宋体"/>
                <w:b/>
                <w:bCs/>
                <w:color w:val="000000"/>
                <w:kern w:val="0"/>
                <w:sz w:val="18"/>
                <w:szCs w:val="18"/>
              </w:rPr>
            </w:pPr>
            <w:r>
              <w:rPr>
                <w:rFonts w:hint="eastAsia" w:ascii="宋体" w:hAnsi="宋体" w:cs="宋体"/>
                <w:b/>
                <w:bCs/>
                <w:color w:val="000000"/>
                <w:kern w:val="0"/>
                <w:sz w:val="18"/>
                <w:szCs w:val="18"/>
              </w:rPr>
              <w:t>★</w:t>
            </w:r>
          </w:p>
        </w:tc>
        <w:tc>
          <w:tcPr>
            <w:tcW w:w="2675" w:type="pct"/>
            <w:tcBorders>
              <w:top w:val="nil"/>
              <w:left w:val="nil"/>
              <w:bottom w:val="single" w:color="auto" w:sz="4" w:space="0"/>
              <w:right w:val="single" w:color="auto" w:sz="4" w:space="0"/>
            </w:tcBorders>
            <w:vAlign w:val="center"/>
          </w:tcPr>
          <w:p w14:paraId="1626A53B">
            <w:pPr>
              <w:widowControl/>
              <w:wordWrap w:val="0"/>
              <w:spacing w:line="240" w:lineRule="exact"/>
              <w:jc w:val="left"/>
              <w:rPr>
                <w:rFonts w:hint="eastAsia" w:ascii="宋体" w:hAnsi="宋体" w:cs="宋体"/>
                <w:b/>
                <w:bCs/>
                <w:color w:val="000000"/>
                <w:kern w:val="0"/>
                <w:sz w:val="18"/>
                <w:szCs w:val="18"/>
              </w:rPr>
            </w:pPr>
            <w:r>
              <w:rPr>
                <w:rFonts w:hint="eastAsia" w:ascii="宋体" w:hAnsi="宋体" w:cs="宋体"/>
                <w:b/>
                <w:bCs/>
                <w:color w:val="000000"/>
                <w:kern w:val="0"/>
                <w:sz w:val="18"/>
                <w:szCs w:val="18"/>
              </w:rPr>
              <w:t>1、★提供相应质量管理体系证书（若为质量体系证书取得承诺，取得时间不得超出投标期1年后），</w:t>
            </w:r>
            <w:bookmarkStart w:id="15" w:name="OLE_LINK66"/>
            <w:r>
              <w:rPr>
                <w:rFonts w:hint="eastAsia" w:ascii="宋体" w:hAnsi="宋体" w:cs="宋体"/>
                <w:b/>
                <w:bCs/>
                <w:color w:val="0000FF"/>
                <w:kern w:val="0"/>
                <w:sz w:val="18"/>
                <w:szCs w:val="18"/>
              </w:rPr>
              <w:t>【不限于IATF16949,ISO9001等，当为重要关键件必须提供IATF16949】</w:t>
            </w:r>
            <w:bookmarkEnd w:id="15"/>
            <w:r>
              <w:rPr>
                <w:rFonts w:hint="eastAsia" w:ascii="宋体" w:hAnsi="宋体" w:cs="宋体"/>
                <w:b/>
                <w:bCs/>
                <w:color w:val="000000"/>
                <w:kern w:val="0"/>
                <w:sz w:val="18"/>
                <w:szCs w:val="18"/>
              </w:rPr>
              <w:t>；必要时3C等认证需提供证书；</w:t>
            </w:r>
          </w:p>
          <w:p w14:paraId="639D752A">
            <w:pPr>
              <w:widowControl/>
              <w:wordWrap w:val="0"/>
              <w:spacing w:line="240" w:lineRule="exact"/>
              <w:jc w:val="left"/>
              <w:rPr>
                <w:rFonts w:hint="eastAsia" w:ascii="宋体" w:hAnsi="宋体" w:cs="宋体"/>
                <w:b/>
                <w:bCs/>
                <w:color w:val="000000"/>
                <w:kern w:val="0"/>
                <w:sz w:val="18"/>
                <w:szCs w:val="18"/>
              </w:rPr>
            </w:pPr>
            <w:r>
              <w:rPr>
                <w:rFonts w:hint="eastAsia" w:ascii="宋体" w:hAnsi="宋体" w:cs="宋体"/>
                <w:b/>
                <w:bCs/>
                <w:color w:val="000000"/>
                <w:kern w:val="0"/>
                <w:sz w:val="18"/>
                <w:szCs w:val="18"/>
              </w:rPr>
              <w:t>2、最近一次质量管理体系证书审核的评审情况</w:t>
            </w:r>
            <w:bookmarkStart w:id="16" w:name="OLE_LINK67"/>
            <w:r>
              <w:rPr>
                <w:rFonts w:hint="eastAsia" w:ascii="宋体" w:hAnsi="宋体" w:cs="宋体"/>
                <w:b/>
                <w:bCs/>
                <w:color w:val="0000FF"/>
                <w:kern w:val="0"/>
                <w:sz w:val="18"/>
                <w:szCs w:val="18"/>
              </w:rPr>
              <w:t>【包含但不限于不合格项、整改项及整改措施内容】</w:t>
            </w:r>
            <w:bookmarkEnd w:id="16"/>
            <w:r>
              <w:rPr>
                <w:rFonts w:hint="eastAsia" w:ascii="宋体" w:hAnsi="宋体" w:cs="宋体"/>
                <w:b/>
                <w:bCs/>
                <w:color w:val="0000FF"/>
                <w:kern w:val="0"/>
                <w:sz w:val="18"/>
                <w:szCs w:val="18"/>
              </w:rPr>
              <w:t>；</w:t>
            </w:r>
          </w:p>
          <w:p w14:paraId="60888F88">
            <w:pPr>
              <w:widowControl/>
              <w:wordWrap w:val="0"/>
              <w:spacing w:line="240" w:lineRule="exact"/>
              <w:jc w:val="left"/>
              <w:rPr>
                <w:rFonts w:hint="eastAsia" w:ascii="宋体" w:hAnsi="宋体" w:cs="宋体"/>
                <w:b/>
                <w:bCs/>
                <w:color w:val="000000"/>
                <w:kern w:val="0"/>
                <w:sz w:val="18"/>
                <w:szCs w:val="18"/>
              </w:rPr>
            </w:pPr>
            <w:r>
              <w:rPr>
                <w:rFonts w:hint="eastAsia" w:ascii="宋体" w:hAnsi="宋体" w:cs="宋体"/>
                <w:b/>
                <w:bCs/>
                <w:color w:val="000000"/>
                <w:kern w:val="0"/>
                <w:sz w:val="18"/>
                <w:szCs w:val="18"/>
              </w:rPr>
              <w:t>3、拟供相关产品通过的相关产品安全及合格性认证资料，请列举及提供</w:t>
            </w:r>
            <w:bookmarkStart w:id="17" w:name="OLE_LINK68"/>
            <w:r>
              <w:rPr>
                <w:rFonts w:hint="eastAsia" w:ascii="宋体" w:hAnsi="宋体" w:cs="宋体"/>
                <w:b/>
                <w:bCs/>
                <w:color w:val="0000FF"/>
                <w:kern w:val="0"/>
                <w:sz w:val="18"/>
                <w:szCs w:val="18"/>
              </w:rPr>
              <w:t>【如3C、CE、e-Mark、CQC、UL、GCC、RoHS等】；</w:t>
            </w:r>
            <w:bookmarkEnd w:id="17"/>
          </w:p>
        </w:tc>
        <w:tc>
          <w:tcPr>
            <w:tcW w:w="605" w:type="pct"/>
            <w:vMerge w:val="restart"/>
            <w:tcBorders>
              <w:top w:val="nil"/>
              <w:left w:val="single" w:color="auto" w:sz="4" w:space="0"/>
              <w:bottom w:val="single" w:color="auto" w:sz="4" w:space="0"/>
              <w:right w:val="single" w:color="auto" w:sz="4" w:space="0"/>
            </w:tcBorders>
            <w:vAlign w:val="center"/>
          </w:tcPr>
          <w:p w14:paraId="71F736B6">
            <w:pPr>
              <w:widowControl/>
              <w:wordWrap w:val="0"/>
              <w:spacing w:line="240" w:lineRule="exact"/>
              <w:jc w:val="center"/>
              <w:rPr>
                <w:rFonts w:hint="eastAsia" w:ascii="宋体" w:hAnsi="宋体" w:cs="宋体"/>
                <w:color w:val="000000"/>
                <w:kern w:val="0"/>
                <w:sz w:val="18"/>
                <w:szCs w:val="18"/>
              </w:rPr>
            </w:pPr>
            <w:r>
              <w:rPr>
                <w:rFonts w:hint="eastAsia" w:ascii="宋体" w:hAnsi="宋体" w:cs="宋体"/>
                <w:b/>
                <w:bCs/>
                <w:color w:val="FF0000"/>
                <w:kern w:val="0"/>
                <w:sz w:val="18"/>
                <w:szCs w:val="18"/>
              </w:rPr>
              <w:t>由品管部门制定和补充评审内容/供应商资料提供说明/评分标准/评审方法（按项目及实际情况分档或者其他评分评审方式）</w:t>
            </w:r>
          </w:p>
        </w:tc>
      </w:tr>
      <w:tr w14:paraId="205A3F2C">
        <w:tblPrEx>
          <w:tblCellMar>
            <w:top w:w="0" w:type="dxa"/>
            <w:left w:w="108" w:type="dxa"/>
            <w:bottom w:w="0" w:type="dxa"/>
            <w:right w:w="108" w:type="dxa"/>
          </w:tblCellMar>
        </w:tblPrEx>
        <w:trPr>
          <w:trHeight w:val="20" w:hRule="atLeast"/>
        </w:trPr>
        <w:tc>
          <w:tcPr>
            <w:tcW w:w="161" w:type="pct"/>
            <w:vMerge w:val="continue"/>
            <w:tcBorders>
              <w:top w:val="nil"/>
              <w:left w:val="single" w:color="auto" w:sz="4" w:space="0"/>
              <w:bottom w:val="single" w:color="auto" w:sz="4" w:space="0"/>
              <w:right w:val="single" w:color="auto" w:sz="4" w:space="0"/>
            </w:tcBorders>
            <w:vAlign w:val="center"/>
          </w:tcPr>
          <w:p w14:paraId="37221D0F">
            <w:pPr>
              <w:widowControl/>
              <w:wordWrap w:val="0"/>
              <w:spacing w:line="240" w:lineRule="exact"/>
              <w:jc w:val="left"/>
              <w:rPr>
                <w:rFonts w:hint="eastAsia" w:ascii="宋体" w:hAnsi="宋体" w:cs="宋体"/>
                <w:b/>
                <w:bCs/>
                <w:color w:val="000000"/>
                <w:kern w:val="0"/>
                <w:sz w:val="18"/>
                <w:szCs w:val="18"/>
              </w:rPr>
            </w:pPr>
          </w:p>
        </w:tc>
        <w:tc>
          <w:tcPr>
            <w:tcW w:w="412" w:type="pct"/>
            <w:vMerge w:val="continue"/>
            <w:tcBorders>
              <w:top w:val="nil"/>
              <w:left w:val="single" w:color="auto" w:sz="4" w:space="0"/>
              <w:bottom w:val="single" w:color="auto" w:sz="4" w:space="0"/>
              <w:right w:val="single" w:color="auto" w:sz="4" w:space="0"/>
            </w:tcBorders>
            <w:vAlign w:val="center"/>
          </w:tcPr>
          <w:p w14:paraId="32C1A19D">
            <w:pPr>
              <w:widowControl/>
              <w:wordWrap w:val="0"/>
              <w:spacing w:line="240" w:lineRule="exact"/>
              <w:jc w:val="left"/>
              <w:rPr>
                <w:rFonts w:hint="eastAsia" w:ascii="宋体" w:hAnsi="宋体" w:cs="宋体"/>
                <w:b/>
                <w:bCs/>
                <w:color w:val="000000"/>
                <w:kern w:val="0"/>
                <w:sz w:val="18"/>
                <w:szCs w:val="18"/>
              </w:rPr>
            </w:pPr>
          </w:p>
        </w:tc>
        <w:tc>
          <w:tcPr>
            <w:tcW w:w="820" w:type="pct"/>
            <w:tcBorders>
              <w:top w:val="nil"/>
              <w:left w:val="nil"/>
              <w:bottom w:val="single" w:color="auto" w:sz="4" w:space="0"/>
              <w:right w:val="single" w:color="auto" w:sz="4" w:space="0"/>
            </w:tcBorders>
            <w:vAlign w:val="center"/>
          </w:tcPr>
          <w:p w14:paraId="4961E3B8">
            <w:pPr>
              <w:widowControl/>
              <w:wordWrap w:val="0"/>
              <w:spacing w:line="240" w:lineRule="exact"/>
              <w:jc w:val="center"/>
              <w:rPr>
                <w:rFonts w:hint="eastAsia" w:ascii="宋体" w:hAnsi="宋体" w:cs="宋体"/>
                <w:b/>
                <w:bCs/>
                <w:color w:val="000000"/>
                <w:kern w:val="0"/>
                <w:sz w:val="18"/>
                <w:szCs w:val="18"/>
              </w:rPr>
            </w:pPr>
            <w:r>
              <w:rPr>
                <w:rFonts w:hint="eastAsia" w:ascii="宋体" w:hAnsi="宋体" w:cs="宋体"/>
                <w:b/>
                <w:bCs/>
                <w:color w:val="000000"/>
                <w:kern w:val="0"/>
                <w:sz w:val="18"/>
                <w:szCs w:val="18"/>
              </w:rPr>
              <w:t>品质管理部门组织架构及人员专业性</w:t>
            </w:r>
          </w:p>
        </w:tc>
        <w:tc>
          <w:tcPr>
            <w:tcW w:w="325" w:type="pct"/>
            <w:tcBorders>
              <w:top w:val="nil"/>
              <w:left w:val="nil"/>
              <w:bottom w:val="single" w:color="auto" w:sz="4" w:space="0"/>
              <w:right w:val="single" w:color="auto" w:sz="4" w:space="0"/>
            </w:tcBorders>
            <w:vAlign w:val="center"/>
          </w:tcPr>
          <w:p w14:paraId="4B69E1F6">
            <w:pPr>
              <w:widowControl/>
              <w:wordWrap w:val="0"/>
              <w:spacing w:line="240" w:lineRule="exact"/>
              <w:jc w:val="center"/>
              <w:rPr>
                <w:rFonts w:hint="eastAsia" w:ascii="宋体" w:hAnsi="宋体" w:cs="宋体"/>
                <w:b/>
                <w:bCs/>
                <w:color w:val="000000"/>
                <w:kern w:val="0"/>
                <w:sz w:val="18"/>
                <w:szCs w:val="18"/>
              </w:rPr>
            </w:pPr>
            <w:r>
              <w:rPr>
                <w:rFonts w:hint="eastAsia" w:ascii="宋体" w:hAnsi="宋体" w:cs="宋体"/>
                <w:b/>
                <w:bCs/>
                <w:color w:val="000000"/>
                <w:kern w:val="0"/>
                <w:sz w:val="18"/>
                <w:szCs w:val="18"/>
              </w:rPr>
              <w:t>★</w:t>
            </w:r>
          </w:p>
        </w:tc>
        <w:tc>
          <w:tcPr>
            <w:tcW w:w="2675" w:type="pct"/>
            <w:tcBorders>
              <w:top w:val="nil"/>
              <w:left w:val="nil"/>
              <w:bottom w:val="single" w:color="auto" w:sz="4" w:space="0"/>
              <w:right w:val="single" w:color="auto" w:sz="4" w:space="0"/>
            </w:tcBorders>
            <w:vAlign w:val="center"/>
          </w:tcPr>
          <w:p w14:paraId="01157372">
            <w:pPr>
              <w:widowControl/>
              <w:wordWrap w:val="0"/>
              <w:spacing w:line="240" w:lineRule="exact"/>
              <w:jc w:val="left"/>
              <w:rPr>
                <w:rFonts w:hint="eastAsia" w:ascii="宋体" w:hAnsi="宋体" w:cs="宋体"/>
                <w:b/>
                <w:bCs/>
                <w:color w:val="000000"/>
                <w:kern w:val="0"/>
                <w:sz w:val="18"/>
                <w:szCs w:val="18"/>
              </w:rPr>
            </w:pPr>
            <w:r>
              <w:rPr>
                <w:rFonts w:hint="eastAsia" w:ascii="宋体" w:hAnsi="宋体" w:cs="宋体"/>
                <w:b/>
                <w:bCs/>
                <w:color w:val="000000"/>
                <w:kern w:val="0"/>
                <w:sz w:val="18"/>
                <w:szCs w:val="18"/>
              </w:rPr>
              <w:t>1、提供负责拟供产品的质量部门组织架构、岗位&amp;职责&amp;分工说明（注明相关质量管理人数、资质等各项情况）；</w:t>
            </w:r>
          </w:p>
          <w:p w14:paraId="2EFA8028">
            <w:pPr>
              <w:widowControl/>
              <w:wordWrap w:val="0"/>
              <w:spacing w:line="240" w:lineRule="exact"/>
              <w:jc w:val="left"/>
              <w:rPr>
                <w:rFonts w:hint="eastAsia" w:ascii="宋体" w:hAnsi="宋体" w:cs="宋体"/>
                <w:b/>
                <w:bCs/>
                <w:color w:val="000000"/>
                <w:kern w:val="0"/>
                <w:sz w:val="18"/>
                <w:szCs w:val="18"/>
              </w:rPr>
            </w:pPr>
            <w:r>
              <w:rPr>
                <w:rFonts w:hint="eastAsia" w:ascii="宋体" w:hAnsi="宋体" w:cs="宋体"/>
                <w:b/>
                <w:bCs/>
                <w:color w:val="000000"/>
                <w:kern w:val="0"/>
                <w:sz w:val="18"/>
                <w:szCs w:val="18"/>
              </w:rPr>
              <w:t>2、拟投标项目的负责质量团队核心成员信息</w:t>
            </w:r>
            <w:r>
              <w:rPr>
                <w:rFonts w:hint="eastAsia" w:ascii="宋体" w:hAnsi="宋体" w:cs="宋体"/>
                <w:b/>
                <w:bCs/>
                <w:color w:val="0000FF"/>
                <w:kern w:val="0"/>
                <w:sz w:val="18"/>
                <w:szCs w:val="18"/>
              </w:rPr>
              <w:t>【包含但不限于姓名、性别、职位、相关专业、相关专业年限、职称证明、相关项目等】；</w:t>
            </w:r>
          </w:p>
          <w:p w14:paraId="1A81315B">
            <w:pPr>
              <w:widowControl/>
              <w:wordWrap w:val="0"/>
              <w:spacing w:line="240" w:lineRule="exact"/>
              <w:jc w:val="left"/>
              <w:rPr>
                <w:rFonts w:hint="eastAsia" w:ascii="宋体" w:hAnsi="宋体" w:cs="宋体"/>
                <w:b/>
                <w:bCs/>
                <w:color w:val="000000"/>
                <w:kern w:val="0"/>
                <w:sz w:val="18"/>
                <w:szCs w:val="18"/>
              </w:rPr>
            </w:pPr>
            <w:r>
              <w:rPr>
                <w:rFonts w:hint="eastAsia" w:ascii="宋体" w:hAnsi="宋体" w:cs="宋体"/>
                <w:b/>
                <w:bCs/>
                <w:color w:val="000000"/>
                <w:kern w:val="0"/>
                <w:sz w:val="18"/>
                <w:szCs w:val="18"/>
              </w:rPr>
              <w:t>3、进料检验、过程检验、成品检验、品质改进、品质体系等模块体系建设及执行介绍；</w:t>
            </w:r>
          </w:p>
        </w:tc>
        <w:tc>
          <w:tcPr>
            <w:tcW w:w="605" w:type="pct"/>
            <w:vMerge w:val="continue"/>
            <w:tcBorders>
              <w:top w:val="nil"/>
              <w:left w:val="single" w:color="auto" w:sz="4" w:space="0"/>
              <w:bottom w:val="single" w:color="auto" w:sz="4" w:space="0"/>
              <w:right w:val="single" w:color="auto" w:sz="4" w:space="0"/>
            </w:tcBorders>
            <w:vAlign w:val="center"/>
          </w:tcPr>
          <w:p w14:paraId="694F4014">
            <w:pPr>
              <w:widowControl/>
              <w:wordWrap w:val="0"/>
              <w:spacing w:line="240" w:lineRule="exact"/>
              <w:jc w:val="left"/>
              <w:rPr>
                <w:rFonts w:hint="eastAsia" w:ascii="宋体" w:hAnsi="宋体" w:cs="宋体"/>
                <w:color w:val="000000"/>
                <w:kern w:val="0"/>
                <w:sz w:val="18"/>
                <w:szCs w:val="18"/>
              </w:rPr>
            </w:pPr>
          </w:p>
        </w:tc>
      </w:tr>
      <w:tr w14:paraId="239E57B4">
        <w:tblPrEx>
          <w:tblCellMar>
            <w:top w:w="0" w:type="dxa"/>
            <w:left w:w="108" w:type="dxa"/>
            <w:bottom w:w="0" w:type="dxa"/>
            <w:right w:w="108" w:type="dxa"/>
          </w:tblCellMar>
        </w:tblPrEx>
        <w:trPr>
          <w:trHeight w:val="20" w:hRule="atLeast"/>
        </w:trPr>
        <w:tc>
          <w:tcPr>
            <w:tcW w:w="161" w:type="pct"/>
            <w:vMerge w:val="continue"/>
            <w:tcBorders>
              <w:top w:val="nil"/>
              <w:left w:val="single" w:color="auto" w:sz="4" w:space="0"/>
              <w:bottom w:val="single" w:color="auto" w:sz="4" w:space="0"/>
              <w:right w:val="single" w:color="auto" w:sz="4" w:space="0"/>
            </w:tcBorders>
            <w:vAlign w:val="center"/>
          </w:tcPr>
          <w:p w14:paraId="413630C8">
            <w:pPr>
              <w:widowControl/>
              <w:wordWrap w:val="0"/>
              <w:spacing w:line="240" w:lineRule="exact"/>
              <w:jc w:val="left"/>
              <w:rPr>
                <w:rFonts w:hint="eastAsia" w:ascii="宋体" w:hAnsi="宋体" w:cs="宋体"/>
                <w:b/>
                <w:bCs/>
                <w:color w:val="000000"/>
                <w:kern w:val="0"/>
                <w:sz w:val="18"/>
                <w:szCs w:val="18"/>
              </w:rPr>
            </w:pPr>
          </w:p>
        </w:tc>
        <w:tc>
          <w:tcPr>
            <w:tcW w:w="412" w:type="pct"/>
            <w:vMerge w:val="continue"/>
            <w:tcBorders>
              <w:top w:val="nil"/>
              <w:left w:val="single" w:color="auto" w:sz="4" w:space="0"/>
              <w:bottom w:val="single" w:color="auto" w:sz="4" w:space="0"/>
              <w:right w:val="single" w:color="auto" w:sz="4" w:space="0"/>
            </w:tcBorders>
            <w:vAlign w:val="center"/>
          </w:tcPr>
          <w:p w14:paraId="56FA5287">
            <w:pPr>
              <w:widowControl/>
              <w:wordWrap w:val="0"/>
              <w:spacing w:line="240" w:lineRule="exact"/>
              <w:jc w:val="left"/>
              <w:rPr>
                <w:rFonts w:hint="eastAsia" w:ascii="宋体" w:hAnsi="宋体" w:cs="宋体"/>
                <w:b/>
                <w:bCs/>
                <w:color w:val="000000"/>
                <w:kern w:val="0"/>
                <w:sz w:val="18"/>
                <w:szCs w:val="18"/>
              </w:rPr>
            </w:pPr>
          </w:p>
        </w:tc>
        <w:tc>
          <w:tcPr>
            <w:tcW w:w="820" w:type="pct"/>
            <w:tcBorders>
              <w:top w:val="nil"/>
              <w:left w:val="nil"/>
              <w:bottom w:val="single" w:color="auto" w:sz="4" w:space="0"/>
              <w:right w:val="single" w:color="auto" w:sz="4" w:space="0"/>
            </w:tcBorders>
            <w:vAlign w:val="center"/>
          </w:tcPr>
          <w:p w14:paraId="5C3CF822">
            <w:pPr>
              <w:widowControl/>
              <w:wordWrap w:val="0"/>
              <w:spacing w:line="240" w:lineRule="exact"/>
              <w:jc w:val="center"/>
              <w:rPr>
                <w:rFonts w:hint="eastAsia" w:ascii="宋体" w:hAnsi="宋体" w:cs="宋体"/>
                <w:b/>
                <w:bCs/>
                <w:color w:val="000000"/>
                <w:kern w:val="0"/>
                <w:sz w:val="18"/>
                <w:szCs w:val="18"/>
              </w:rPr>
            </w:pPr>
            <w:r>
              <w:rPr>
                <w:rFonts w:hint="eastAsia" w:ascii="宋体" w:hAnsi="宋体" w:cs="宋体"/>
                <w:b/>
                <w:bCs/>
                <w:color w:val="000000"/>
                <w:kern w:val="0"/>
                <w:sz w:val="18"/>
                <w:szCs w:val="18"/>
              </w:rPr>
              <w:t>产品品质目标</w:t>
            </w:r>
          </w:p>
        </w:tc>
        <w:tc>
          <w:tcPr>
            <w:tcW w:w="325" w:type="pct"/>
            <w:tcBorders>
              <w:top w:val="nil"/>
              <w:left w:val="nil"/>
              <w:bottom w:val="single" w:color="auto" w:sz="4" w:space="0"/>
              <w:right w:val="single" w:color="auto" w:sz="4" w:space="0"/>
            </w:tcBorders>
            <w:vAlign w:val="center"/>
          </w:tcPr>
          <w:p w14:paraId="2A080A31">
            <w:pPr>
              <w:widowControl/>
              <w:wordWrap w:val="0"/>
              <w:spacing w:line="240" w:lineRule="exact"/>
              <w:jc w:val="center"/>
              <w:rPr>
                <w:rFonts w:hint="eastAsia" w:ascii="宋体" w:hAnsi="宋体" w:cs="宋体"/>
                <w:b/>
                <w:bCs/>
                <w:color w:val="000000"/>
                <w:kern w:val="0"/>
                <w:sz w:val="18"/>
                <w:szCs w:val="18"/>
              </w:rPr>
            </w:pPr>
            <w:r>
              <w:rPr>
                <w:rFonts w:hint="eastAsia" w:ascii="宋体" w:hAnsi="宋体" w:cs="宋体"/>
                <w:b/>
                <w:bCs/>
                <w:color w:val="000000"/>
                <w:kern w:val="0"/>
                <w:sz w:val="18"/>
                <w:szCs w:val="18"/>
              </w:rPr>
              <w:t>★</w:t>
            </w:r>
          </w:p>
        </w:tc>
        <w:tc>
          <w:tcPr>
            <w:tcW w:w="2675" w:type="pct"/>
            <w:tcBorders>
              <w:top w:val="nil"/>
              <w:left w:val="nil"/>
              <w:bottom w:val="single" w:color="auto" w:sz="4" w:space="0"/>
              <w:right w:val="single" w:color="auto" w:sz="4" w:space="0"/>
            </w:tcBorders>
            <w:vAlign w:val="center"/>
          </w:tcPr>
          <w:p w14:paraId="56AB0714">
            <w:pPr>
              <w:widowControl/>
              <w:wordWrap w:val="0"/>
              <w:spacing w:line="240" w:lineRule="exact"/>
              <w:jc w:val="left"/>
              <w:rPr>
                <w:rFonts w:hint="eastAsia" w:ascii="宋体" w:hAnsi="宋体" w:cs="宋体"/>
                <w:b/>
                <w:bCs/>
                <w:color w:val="000000"/>
                <w:kern w:val="0"/>
                <w:sz w:val="18"/>
                <w:szCs w:val="18"/>
              </w:rPr>
            </w:pPr>
            <w:r>
              <w:rPr>
                <w:rFonts w:hint="eastAsia" w:ascii="宋体" w:hAnsi="宋体" w:cs="宋体"/>
                <w:b/>
                <w:bCs/>
                <w:color w:val="000000"/>
                <w:kern w:val="0"/>
                <w:sz w:val="18"/>
                <w:szCs w:val="18"/>
              </w:rPr>
              <w:t>1、产品品质目标：承诺拟供产品保修期内的故障率&amp;PPM（将作为后续质量目标考核指标）；</w:t>
            </w:r>
          </w:p>
          <w:p w14:paraId="5539BA58">
            <w:pPr>
              <w:widowControl/>
              <w:wordWrap w:val="0"/>
              <w:spacing w:line="240" w:lineRule="exact"/>
              <w:jc w:val="left"/>
              <w:rPr>
                <w:rFonts w:hint="eastAsia" w:ascii="宋体" w:hAnsi="宋体" w:cs="宋体"/>
                <w:b/>
                <w:bCs/>
                <w:color w:val="000000"/>
                <w:kern w:val="0"/>
                <w:sz w:val="18"/>
                <w:szCs w:val="18"/>
              </w:rPr>
            </w:pPr>
            <w:r>
              <w:rPr>
                <w:rFonts w:hint="eastAsia" w:ascii="宋体" w:hAnsi="宋体" w:cs="宋体"/>
                <w:b/>
                <w:bCs/>
                <w:color w:val="0000FF"/>
                <w:kern w:val="0"/>
                <w:sz w:val="18"/>
                <w:szCs w:val="18"/>
              </w:rPr>
              <w:t>2、根据相关产品在</w:t>
            </w:r>
            <w:r>
              <w:rPr>
                <w:rFonts w:ascii="宋体" w:hAnsi="宋体" w:cs="宋体"/>
                <w:b/>
                <w:bCs/>
                <w:color w:val="0000FF"/>
                <w:kern w:val="0"/>
                <w:sz w:val="18"/>
                <w:szCs w:val="18"/>
              </w:rPr>
              <w:t>客车&amp;</w:t>
            </w:r>
            <w:r>
              <w:rPr>
                <w:rFonts w:hint="eastAsia" w:ascii="宋体" w:hAnsi="宋体" w:cs="宋体"/>
                <w:b/>
                <w:bCs/>
                <w:color w:val="0000FF"/>
                <w:kern w:val="0"/>
                <w:sz w:val="18"/>
                <w:szCs w:val="18"/>
              </w:rPr>
              <w:t>商用车&amp;乘用车厂商配套交货质量情况（可能的话提供相关产品质量数据）；</w:t>
            </w:r>
          </w:p>
        </w:tc>
        <w:tc>
          <w:tcPr>
            <w:tcW w:w="605" w:type="pct"/>
            <w:vMerge w:val="continue"/>
            <w:tcBorders>
              <w:top w:val="nil"/>
              <w:left w:val="single" w:color="auto" w:sz="4" w:space="0"/>
              <w:bottom w:val="single" w:color="auto" w:sz="4" w:space="0"/>
              <w:right w:val="single" w:color="auto" w:sz="4" w:space="0"/>
            </w:tcBorders>
            <w:vAlign w:val="center"/>
          </w:tcPr>
          <w:p w14:paraId="22AEB68F">
            <w:pPr>
              <w:widowControl/>
              <w:wordWrap w:val="0"/>
              <w:spacing w:line="240" w:lineRule="exact"/>
              <w:jc w:val="left"/>
              <w:rPr>
                <w:rFonts w:hint="eastAsia" w:ascii="宋体" w:hAnsi="宋体" w:cs="宋体"/>
                <w:color w:val="000000"/>
                <w:kern w:val="0"/>
                <w:sz w:val="18"/>
                <w:szCs w:val="18"/>
              </w:rPr>
            </w:pPr>
          </w:p>
        </w:tc>
      </w:tr>
      <w:tr w14:paraId="62C0BBCF">
        <w:tblPrEx>
          <w:tblCellMar>
            <w:top w:w="0" w:type="dxa"/>
            <w:left w:w="108" w:type="dxa"/>
            <w:bottom w:w="0" w:type="dxa"/>
            <w:right w:w="108" w:type="dxa"/>
          </w:tblCellMar>
        </w:tblPrEx>
        <w:trPr>
          <w:trHeight w:val="20" w:hRule="atLeast"/>
        </w:trPr>
        <w:tc>
          <w:tcPr>
            <w:tcW w:w="161" w:type="pct"/>
            <w:vMerge w:val="continue"/>
            <w:tcBorders>
              <w:top w:val="nil"/>
              <w:left w:val="single" w:color="auto" w:sz="4" w:space="0"/>
              <w:bottom w:val="single" w:color="auto" w:sz="4" w:space="0"/>
              <w:right w:val="single" w:color="auto" w:sz="4" w:space="0"/>
            </w:tcBorders>
            <w:vAlign w:val="center"/>
          </w:tcPr>
          <w:p w14:paraId="0C97605F">
            <w:pPr>
              <w:widowControl/>
              <w:wordWrap w:val="0"/>
              <w:spacing w:line="240" w:lineRule="exact"/>
              <w:jc w:val="left"/>
              <w:rPr>
                <w:rFonts w:hint="eastAsia" w:ascii="宋体" w:hAnsi="宋体" w:cs="宋体"/>
                <w:b/>
                <w:bCs/>
                <w:color w:val="000000"/>
                <w:kern w:val="0"/>
                <w:sz w:val="18"/>
                <w:szCs w:val="18"/>
              </w:rPr>
            </w:pPr>
          </w:p>
        </w:tc>
        <w:tc>
          <w:tcPr>
            <w:tcW w:w="412" w:type="pct"/>
            <w:vMerge w:val="continue"/>
            <w:tcBorders>
              <w:top w:val="nil"/>
              <w:left w:val="single" w:color="auto" w:sz="4" w:space="0"/>
              <w:bottom w:val="single" w:color="auto" w:sz="4" w:space="0"/>
              <w:right w:val="single" w:color="auto" w:sz="4" w:space="0"/>
            </w:tcBorders>
            <w:vAlign w:val="center"/>
          </w:tcPr>
          <w:p w14:paraId="2658D708">
            <w:pPr>
              <w:widowControl/>
              <w:wordWrap w:val="0"/>
              <w:spacing w:line="240" w:lineRule="exact"/>
              <w:jc w:val="left"/>
              <w:rPr>
                <w:rFonts w:hint="eastAsia" w:ascii="宋体" w:hAnsi="宋体" w:cs="宋体"/>
                <w:b/>
                <w:bCs/>
                <w:color w:val="000000"/>
                <w:kern w:val="0"/>
                <w:sz w:val="18"/>
                <w:szCs w:val="18"/>
              </w:rPr>
            </w:pPr>
          </w:p>
        </w:tc>
        <w:tc>
          <w:tcPr>
            <w:tcW w:w="820" w:type="pct"/>
            <w:tcBorders>
              <w:top w:val="nil"/>
              <w:left w:val="nil"/>
              <w:bottom w:val="single" w:color="auto" w:sz="4" w:space="0"/>
              <w:right w:val="single" w:color="auto" w:sz="4" w:space="0"/>
            </w:tcBorders>
            <w:vAlign w:val="center"/>
          </w:tcPr>
          <w:p w14:paraId="393E226D">
            <w:pPr>
              <w:widowControl/>
              <w:wordWrap w:val="0"/>
              <w:spacing w:line="240" w:lineRule="exact"/>
              <w:jc w:val="center"/>
              <w:rPr>
                <w:rFonts w:hint="eastAsia" w:ascii="宋体" w:hAnsi="宋体" w:cs="宋体"/>
                <w:b/>
                <w:bCs/>
                <w:color w:val="000000"/>
                <w:kern w:val="0"/>
                <w:sz w:val="18"/>
                <w:szCs w:val="18"/>
              </w:rPr>
            </w:pPr>
            <w:r>
              <w:rPr>
                <w:rFonts w:hint="eastAsia" w:ascii="宋体" w:hAnsi="宋体" w:cs="宋体"/>
                <w:b/>
                <w:bCs/>
                <w:color w:val="000000"/>
                <w:kern w:val="0"/>
                <w:sz w:val="18"/>
                <w:szCs w:val="18"/>
              </w:rPr>
              <w:t>产品开发质量水平及一致性质量水平</w:t>
            </w:r>
          </w:p>
        </w:tc>
        <w:tc>
          <w:tcPr>
            <w:tcW w:w="325" w:type="pct"/>
            <w:tcBorders>
              <w:top w:val="nil"/>
              <w:left w:val="nil"/>
              <w:bottom w:val="single" w:color="auto" w:sz="4" w:space="0"/>
              <w:right w:val="single" w:color="auto" w:sz="4" w:space="0"/>
            </w:tcBorders>
            <w:vAlign w:val="center"/>
          </w:tcPr>
          <w:p w14:paraId="1FBB853E">
            <w:pPr>
              <w:widowControl/>
              <w:wordWrap w:val="0"/>
              <w:spacing w:line="240" w:lineRule="exact"/>
              <w:jc w:val="center"/>
              <w:rPr>
                <w:rFonts w:hint="eastAsia" w:ascii="宋体" w:hAnsi="宋体" w:cs="宋体"/>
                <w:b/>
                <w:bCs/>
                <w:color w:val="000000"/>
                <w:kern w:val="0"/>
                <w:sz w:val="18"/>
                <w:szCs w:val="18"/>
              </w:rPr>
            </w:pPr>
            <w:r>
              <w:rPr>
                <w:rFonts w:hint="eastAsia" w:ascii="宋体" w:hAnsi="宋体" w:cs="宋体"/>
                <w:b/>
                <w:bCs/>
                <w:color w:val="000000"/>
                <w:kern w:val="0"/>
                <w:sz w:val="18"/>
                <w:szCs w:val="18"/>
              </w:rPr>
              <w:t>★</w:t>
            </w:r>
          </w:p>
        </w:tc>
        <w:tc>
          <w:tcPr>
            <w:tcW w:w="2675" w:type="pct"/>
            <w:tcBorders>
              <w:top w:val="nil"/>
              <w:left w:val="nil"/>
              <w:bottom w:val="single" w:color="auto" w:sz="4" w:space="0"/>
              <w:right w:val="single" w:color="auto" w:sz="4" w:space="0"/>
            </w:tcBorders>
            <w:vAlign w:val="center"/>
          </w:tcPr>
          <w:p w14:paraId="757303B4">
            <w:pPr>
              <w:pStyle w:val="28"/>
              <w:widowControl/>
              <w:numPr>
                <w:ilvl w:val="1"/>
                <w:numId w:val="1"/>
              </w:numPr>
              <w:wordWrap w:val="0"/>
              <w:spacing w:line="240" w:lineRule="exact"/>
              <w:ind w:left="0" w:firstLine="0" w:firstLineChars="0"/>
              <w:jc w:val="left"/>
              <w:rPr>
                <w:rFonts w:hint="eastAsia" w:ascii="宋体" w:hAnsi="宋体" w:eastAsia="宋体" w:cs="宋体"/>
                <w:b/>
                <w:bCs/>
                <w:color w:val="FF0000"/>
                <w:kern w:val="0"/>
                <w:sz w:val="18"/>
                <w:szCs w:val="18"/>
              </w:rPr>
            </w:pPr>
            <w:r>
              <w:rPr>
                <w:rFonts w:hint="eastAsia" w:ascii="宋体" w:hAnsi="宋体" w:eastAsia="宋体" w:cs="宋体"/>
                <w:b/>
                <w:bCs/>
                <w:color w:val="000000"/>
                <w:kern w:val="0"/>
                <w:sz w:val="18"/>
                <w:szCs w:val="18"/>
              </w:rPr>
              <w:t>提供招标标的件或同类件的一致性控制计划；</w:t>
            </w:r>
          </w:p>
          <w:p w14:paraId="58620128">
            <w:pPr>
              <w:pStyle w:val="28"/>
              <w:widowControl/>
              <w:numPr>
                <w:ilvl w:val="1"/>
                <w:numId w:val="1"/>
              </w:numPr>
              <w:wordWrap w:val="0"/>
              <w:spacing w:line="240" w:lineRule="exact"/>
              <w:ind w:left="0" w:firstLine="0" w:firstLineChars="0"/>
              <w:jc w:val="left"/>
              <w:rPr>
                <w:rFonts w:hint="eastAsia" w:ascii="宋体" w:hAnsi="宋体" w:eastAsia="宋体" w:cs="宋体"/>
                <w:b/>
                <w:bCs/>
                <w:color w:val="000000"/>
                <w:kern w:val="0"/>
                <w:sz w:val="18"/>
                <w:szCs w:val="18"/>
              </w:rPr>
            </w:pPr>
            <w:r>
              <w:rPr>
                <w:rFonts w:hint="eastAsia" w:ascii="宋体" w:hAnsi="宋体" w:eastAsia="宋体" w:cs="宋体"/>
                <w:b/>
                <w:bCs/>
                <w:color w:val="000000"/>
                <w:kern w:val="0"/>
                <w:sz w:val="18"/>
                <w:szCs w:val="18"/>
              </w:rPr>
              <w:t>提供招标标的件或同类件的</w:t>
            </w:r>
            <w:bookmarkStart w:id="18" w:name="_Hlk220439913"/>
            <w:r>
              <w:rPr>
                <w:rFonts w:hint="eastAsia" w:ascii="宋体" w:hAnsi="宋体" w:eastAsia="宋体" w:cs="宋体"/>
                <w:b/>
                <w:bCs/>
                <w:color w:val="000000"/>
                <w:kern w:val="0"/>
                <w:sz w:val="18"/>
                <w:szCs w:val="18"/>
              </w:rPr>
              <w:t>性能参数测试方案；</w:t>
            </w:r>
            <w:bookmarkEnd w:id="18"/>
          </w:p>
          <w:p w14:paraId="6F8F5657">
            <w:pPr>
              <w:pStyle w:val="14"/>
              <w:widowControl/>
              <w:numPr>
                <w:ilvl w:val="1"/>
                <w:numId w:val="1"/>
              </w:numPr>
              <w:wordWrap w:val="0"/>
              <w:spacing w:line="240" w:lineRule="exact"/>
              <w:ind w:left="0" w:firstLine="0" w:firstLineChars="0"/>
              <w:jc w:val="left"/>
              <w:rPr>
                <w:rFonts w:hint="eastAsia" w:ascii="宋体" w:hAnsi="宋体" w:cs="宋体"/>
                <w:b/>
                <w:bCs/>
                <w:color w:val="000000"/>
                <w:kern w:val="0"/>
                <w:sz w:val="18"/>
                <w:szCs w:val="18"/>
              </w:rPr>
            </w:pPr>
            <w:r>
              <w:rPr>
                <w:rFonts w:hint="eastAsia" w:ascii="宋体" w:hAnsi="宋体" w:cs="宋体"/>
                <w:b/>
                <w:bCs/>
                <w:color w:val="000000"/>
                <w:kern w:val="0"/>
                <w:sz w:val="18"/>
                <w:szCs w:val="18"/>
              </w:rPr>
              <w:t>针对关键件重要件提供产品可追溯性管控系统说明，并保证能与我司的产品追溯系统对接；</w:t>
            </w:r>
          </w:p>
        </w:tc>
        <w:tc>
          <w:tcPr>
            <w:tcW w:w="605" w:type="pct"/>
            <w:vMerge w:val="continue"/>
            <w:tcBorders>
              <w:top w:val="nil"/>
              <w:left w:val="single" w:color="auto" w:sz="4" w:space="0"/>
              <w:bottom w:val="single" w:color="auto" w:sz="4" w:space="0"/>
              <w:right w:val="single" w:color="auto" w:sz="4" w:space="0"/>
            </w:tcBorders>
            <w:vAlign w:val="center"/>
          </w:tcPr>
          <w:p w14:paraId="68F038D2">
            <w:pPr>
              <w:widowControl/>
              <w:wordWrap w:val="0"/>
              <w:spacing w:line="240" w:lineRule="exact"/>
              <w:jc w:val="left"/>
              <w:rPr>
                <w:rFonts w:hint="eastAsia" w:ascii="宋体" w:hAnsi="宋体" w:cs="宋体"/>
                <w:color w:val="000000"/>
                <w:kern w:val="0"/>
                <w:sz w:val="18"/>
                <w:szCs w:val="18"/>
              </w:rPr>
            </w:pPr>
          </w:p>
        </w:tc>
      </w:tr>
      <w:tr w14:paraId="1B008A9A">
        <w:tblPrEx>
          <w:tblCellMar>
            <w:top w:w="0" w:type="dxa"/>
            <w:left w:w="108" w:type="dxa"/>
            <w:bottom w:w="0" w:type="dxa"/>
            <w:right w:w="108" w:type="dxa"/>
          </w:tblCellMar>
        </w:tblPrEx>
        <w:trPr>
          <w:trHeight w:val="1275" w:hRule="atLeast"/>
        </w:trPr>
        <w:tc>
          <w:tcPr>
            <w:tcW w:w="161" w:type="pct"/>
            <w:vMerge w:val="continue"/>
            <w:tcBorders>
              <w:top w:val="nil"/>
              <w:left w:val="single" w:color="auto" w:sz="4" w:space="0"/>
              <w:bottom w:val="single" w:color="auto" w:sz="4" w:space="0"/>
              <w:right w:val="single" w:color="auto" w:sz="4" w:space="0"/>
            </w:tcBorders>
            <w:vAlign w:val="center"/>
          </w:tcPr>
          <w:p w14:paraId="16F1E724">
            <w:pPr>
              <w:widowControl/>
              <w:wordWrap w:val="0"/>
              <w:spacing w:line="240" w:lineRule="exact"/>
              <w:jc w:val="left"/>
              <w:rPr>
                <w:rFonts w:hint="eastAsia" w:ascii="宋体" w:hAnsi="宋体" w:cs="宋体"/>
                <w:b/>
                <w:bCs/>
                <w:color w:val="000000"/>
                <w:kern w:val="0"/>
                <w:sz w:val="18"/>
                <w:szCs w:val="18"/>
              </w:rPr>
            </w:pPr>
          </w:p>
        </w:tc>
        <w:tc>
          <w:tcPr>
            <w:tcW w:w="412" w:type="pct"/>
            <w:vMerge w:val="continue"/>
            <w:tcBorders>
              <w:top w:val="nil"/>
              <w:left w:val="single" w:color="auto" w:sz="4" w:space="0"/>
              <w:bottom w:val="single" w:color="auto" w:sz="4" w:space="0"/>
              <w:right w:val="single" w:color="auto" w:sz="4" w:space="0"/>
            </w:tcBorders>
            <w:vAlign w:val="center"/>
          </w:tcPr>
          <w:p w14:paraId="593D1BFB">
            <w:pPr>
              <w:widowControl/>
              <w:wordWrap w:val="0"/>
              <w:spacing w:line="240" w:lineRule="exact"/>
              <w:jc w:val="left"/>
              <w:rPr>
                <w:rFonts w:hint="eastAsia" w:ascii="宋体" w:hAnsi="宋体" w:cs="宋体"/>
                <w:b/>
                <w:bCs/>
                <w:color w:val="000000"/>
                <w:kern w:val="0"/>
                <w:sz w:val="18"/>
                <w:szCs w:val="18"/>
              </w:rPr>
            </w:pPr>
          </w:p>
        </w:tc>
        <w:tc>
          <w:tcPr>
            <w:tcW w:w="820" w:type="pct"/>
            <w:tcBorders>
              <w:top w:val="nil"/>
              <w:left w:val="nil"/>
              <w:bottom w:val="single" w:color="auto" w:sz="4" w:space="0"/>
              <w:right w:val="single" w:color="auto" w:sz="4" w:space="0"/>
            </w:tcBorders>
            <w:vAlign w:val="center"/>
          </w:tcPr>
          <w:p w14:paraId="1867461A">
            <w:pPr>
              <w:widowControl/>
              <w:wordWrap w:val="0"/>
              <w:spacing w:line="240" w:lineRule="exact"/>
              <w:jc w:val="center"/>
              <w:rPr>
                <w:rFonts w:hint="eastAsia" w:ascii="宋体" w:hAnsi="宋体" w:cs="宋体"/>
                <w:b/>
                <w:bCs/>
                <w:color w:val="000000"/>
                <w:kern w:val="0"/>
                <w:sz w:val="18"/>
                <w:szCs w:val="18"/>
              </w:rPr>
            </w:pPr>
            <w:r>
              <w:rPr>
                <w:rFonts w:hint="eastAsia" w:ascii="宋体" w:hAnsi="宋体" w:cs="宋体"/>
                <w:b/>
                <w:bCs/>
                <w:color w:val="000000"/>
                <w:kern w:val="0"/>
                <w:sz w:val="18"/>
                <w:szCs w:val="18"/>
              </w:rPr>
              <w:t>产品检测</w:t>
            </w:r>
          </w:p>
        </w:tc>
        <w:tc>
          <w:tcPr>
            <w:tcW w:w="325" w:type="pct"/>
            <w:tcBorders>
              <w:top w:val="nil"/>
              <w:left w:val="nil"/>
              <w:bottom w:val="single" w:color="auto" w:sz="4" w:space="0"/>
              <w:right w:val="single" w:color="auto" w:sz="4" w:space="0"/>
            </w:tcBorders>
            <w:vAlign w:val="center"/>
          </w:tcPr>
          <w:p w14:paraId="4CF905B9">
            <w:pPr>
              <w:widowControl/>
              <w:wordWrap w:val="0"/>
              <w:spacing w:line="240" w:lineRule="exact"/>
              <w:jc w:val="center"/>
              <w:rPr>
                <w:rFonts w:hint="eastAsia" w:ascii="宋体" w:hAnsi="宋体" w:cs="宋体"/>
                <w:b/>
                <w:bCs/>
                <w:color w:val="000000"/>
                <w:kern w:val="0"/>
                <w:sz w:val="18"/>
                <w:szCs w:val="18"/>
              </w:rPr>
            </w:pPr>
            <w:r>
              <w:rPr>
                <w:rFonts w:hint="eastAsia" w:ascii="宋体" w:hAnsi="宋体" w:cs="宋体"/>
                <w:b/>
                <w:bCs/>
                <w:color w:val="000000"/>
                <w:kern w:val="0"/>
                <w:sz w:val="18"/>
                <w:szCs w:val="18"/>
              </w:rPr>
              <w:t>★</w:t>
            </w:r>
          </w:p>
        </w:tc>
        <w:tc>
          <w:tcPr>
            <w:tcW w:w="2675" w:type="pct"/>
            <w:tcBorders>
              <w:top w:val="nil"/>
              <w:left w:val="nil"/>
              <w:bottom w:val="single" w:color="auto" w:sz="4" w:space="0"/>
              <w:right w:val="single" w:color="auto" w:sz="4" w:space="0"/>
            </w:tcBorders>
            <w:vAlign w:val="center"/>
          </w:tcPr>
          <w:p w14:paraId="15920BDF">
            <w:pPr>
              <w:pStyle w:val="28"/>
              <w:widowControl/>
              <w:numPr>
                <w:ilvl w:val="0"/>
                <w:numId w:val="5"/>
              </w:numPr>
              <w:wordWrap w:val="0"/>
              <w:spacing w:line="240" w:lineRule="exact"/>
              <w:ind w:left="0" w:firstLine="0" w:firstLineChars="0"/>
              <w:jc w:val="left"/>
              <w:rPr>
                <w:rFonts w:hint="eastAsia" w:ascii="宋体" w:hAnsi="宋体" w:eastAsia="宋体" w:cs="宋体"/>
                <w:b/>
                <w:bCs/>
                <w:color w:val="000000"/>
                <w:kern w:val="0"/>
                <w:sz w:val="18"/>
                <w:szCs w:val="18"/>
              </w:rPr>
            </w:pPr>
            <w:r>
              <w:rPr>
                <w:rFonts w:hint="eastAsia" w:ascii="宋体" w:hAnsi="宋体" w:eastAsia="宋体" w:cs="宋体"/>
                <w:b/>
                <w:bCs/>
                <w:color w:val="000000"/>
                <w:kern w:val="0"/>
                <w:sz w:val="18"/>
                <w:szCs w:val="18"/>
              </w:rPr>
              <w:t>提供招标标的件或同类件的第三方检测报告</w:t>
            </w:r>
            <w:r>
              <w:rPr>
                <w:rFonts w:hint="eastAsia" w:ascii="宋体" w:hAnsi="宋体" w:eastAsia="宋体" w:cs="宋体"/>
                <w:b/>
                <w:bCs/>
                <w:color w:val="0000FF"/>
                <w:kern w:val="0"/>
                <w:sz w:val="18"/>
                <w:szCs w:val="18"/>
              </w:rPr>
              <w:t>（有效期在近3年内或产品检测报告承诺函）</w:t>
            </w:r>
            <w:r>
              <w:rPr>
                <w:rFonts w:hint="eastAsia" w:ascii="宋体" w:hAnsi="宋体" w:eastAsia="宋体" w:cs="宋体"/>
                <w:b/>
                <w:bCs/>
                <w:color w:val="000000"/>
                <w:kern w:val="0"/>
                <w:sz w:val="18"/>
                <w:szCs w:val="18"/>
              </w:rPr>
              <w:t>，其中包含相关的重要结构、功能、型式试验项目</w:t>
            </w:r>
            <w:r>
              <w:rPr>
                <w:rFonts w:hint="eastAsia" w:ascii="宋体" w:hAnsi="宋体" w:eastAsia="宋体" w:cs="宋体"/>
                <w:b/>
                <w:bCs/>
                <w:color w:val="FF0000"/>
                <w:kern w:val="0"/>
                <w:sz w:val="18"/>
                <w:szCs w:val="18"/>
              </w:rPr>
              <w:t>【如包含但不限于XXXXXXXXXX检测项目】；</w:t>
            </w:r>
          </w:p>
          <w:p w14:paraId="1EDE36AA">
            <w:pPr>
              <w:pStyle w:val="28"/>
              <w:widowControl/>
              <w:numPr>
                <w:ilvl w:val="0"/>
                <w:numId w:val="5"/>
              </w:numPr>
              <w:wordWrap w:val="0"/>
              <w:spacing w:line="240" w:lineRule="exact"/>
              <w:ind w:left="0" w:firstLine="0" w:firstLineChars="0"/>
              <w:jc w:val="left"/>
              <w:rPr>
                <w:rFonts w:hint="eastAsia" w:ascii="宋体" w:hAnsi="宋体" w:eastAsia="宋体" w:cs="宋体"/>
                <w:b/>
                <w:bCs/>
                <w:color w:val="000000"/>
                <w:kern w:val="0"/>
                <w:sz w:val="18"/>
                <w:szCs w:val="18"/>
              </w:rPr>
            </w:pPr>
            <w:r>
              <w:rPr>
                <w:rFonts w:hint="eastAsia" w:ascii="宋体" w:hAnsi="宋体" w:eastAsia="宋体" w:cs="宋体"/>
                <w:b/>
                <w:bCs/>
                <w:color w:val="000000"/>
                <w:kern w:val="0"/>
                <w:sz w:val="18"/>
                <w:szCs w:val="18"/>
              </w:rPr>
              <w:t>提供招标标的件或同类件的产品性能年度试验计划；产品的试验实施是由</w:t>
            </w:r>
            <w:r>
              <w:rPr>
                <w:rFonts w:hint="eastAsia" w:ascii="宋体" w:hAnsi="宋体" w:eastAsia="宋体" w:cs="宋体"/>
                <w:b/>
                <w:bCs/>
                <w:color w:val="0000FF"/>
                <w:kern w:val="0"/>
                <w:sz w:val="18"/>
                <w:szCs w:val="18"/>
              </w:rPr>
              <w:t>自建实验室？/委外实验机构（长期/随机）？</w:t>
            </w:r>
            <w:r>
              <w:rPr>
                <w:rFonts w:hint="eastAsia" w:ascii="宋体" w:hAnsi="宋体" w:eastAsia="宋体" w:cs="宋体"/>
                <w:b/>
                <w:bCs/>
                <w:color w:val="000000"/>
                <w:kern w:val="0"/>
                <w:sz w:val="18"/>
                <w:szCs w:val="18"/>
              </w:rPr>
              <w:t>实施的说明, 并附检测实验室资质证明；</w:t>
            </w:r>
          </w:p>
          <w:p w14:paraId="7431BAF6">
            <w:pPr>
              <w:pStyle w:val="14"/>
              <w:widowControl/>
              <w:numPr>
                <w:ilvl w:val="0"/>
                <w:numId w:val="5"/>
              </w:numPr>
              <w:wordWrap w:val="0"/>
              <w:spacing w:line="240" w:lineRule="exact"/>
              <w:ind w:left="0" w:firstLine="0" w:firstLineChars="0"/>
              <w:jc w:val="left"/>
              <w:rPr>
                <w:rFonts w:hint="eastAsia" w:ascii="宋体" w:hAnsi="宋体" w:cs="宋体"/>
                <w:b/>
                <w:bCs/>
                <w:color w:val="000000"/>
                <w:kern w:val="0"/>
                <w:sz w:val="18"/>
                <w:szCs w:val="18"/>
              </w:rPr>
            </w:pPr>
            <w:r>
              <w:rPr>
                <w:rFonts w:hint="eastAsia" w:ascii="宋体" w:hAnsi="宋体" w:cs="宋体"/>
                <w:b/>
                <w:bCs/>
                <w:color w:val="000000"/>
                <w:kern w:val="0"/>
                <w:sz w:val="18"/>
                <w:szCs w:val="18"/>
              </w:rPr>
              <w:t>提供招标标的件或同类件的关键特性清单及相应的检测设备、检测手段、检测方法（SPC\MSA）；</w:t>
            </w:r>
          </w:p>
        </w:tc>
        <w:tc>
          <w:tcPr>
            <w:tcW w:w="605" w:type="pct"/>
            <w:vMerge w:val="continue"/>
            <w:tcBorders>
              <w:top w:val="nil"/>
              <w:left w:val="single" w:color="auto" w:sz="4" w:space="0"/>
              <w:bottom w:val="single" w:color="auto" w:sz="4" w:space="0"/>
              <w:right w:val="single" w:color="auto" w:sz="4" w:space="0"/>
            </w:tcBorders>
            <w:vAlign w:val="center"/>
          </w:tcPr>
          <w:p w14:paraId="32DE7378">
            <w:pPr>
              <w:widowControl/>
              <w:wordWrap w:val="0"/>
              <w:spacing w:line="240" w:lineRule="exact"/>
              <w:jc w:val="left"/>
              <w:rPr>
                <w:rFonts w:hint="eastAsia" w:ascii="宋体" w:hAnsi="宋体" w:cs="宋体"/>
                <w:color w:val="000000"/>
                <w:kern w:val="0"/>
                <w:sz w:val="18"/>
                <w:szCs w:val="18"/>
              </w:rPr>
            </w:pPr>
          </w:p>
        </w:tc>
      </w:tr>
      <w:tr w14:paraId="7DD43720">
        <w:tblPrEx>
          <w:tblCellMar>
            <w:top w:w="0" w:type="dxa"/>
            <w:left w:w="108" w:type="dxa"/>
            <w:bottom w:w="0" w:type="dxa"/>
            <w:right w:w="108" w:type="dxa"/>
          </w:tblCellMar>
        </w:tblPrEx>
        <w:trPr>
          <w:trHeight w:val="20" w:hRule="atLeast"/>
        </w:trPr>
        <w:tc>
          <w:tcPr>
            <w:tcW w:w="161" w:type="pct"/>
            <w:vMerge w:val="continue"/>
            <w:tcBorders>
              <w:top w:val="nil"/>
              <w:left w:val="single" w:color="auto" w:sz="4" w:space="0"/>
              <w:bottom w:val="single" w:color="auto" w:sz="4" w:space="0"/>
              <w:right w:val="single" w:color="auto" w:sz="4" w:space="0"/>
            </w:tcBorders>
            <w:vAlign w:val="center"/>
          </w:tcPr>
          <w:p w14:paraId="7ED1FEC6">
            <w:pPr>
              <w:widowControl/>
              <w:wordWrap w:val="0"/>
              <w:spacing w:line="240" w:lineRule="exact"/>
              <w:jc w:val="left"/>
              <w:rPr>
                <w:rFonts w:hint="eastAsia" w:ascii="宋体" w:hAnsi="宋体" w:cs="宋体"/>
                <w:b/>
                <w:bCs/>
                <w:color w:val="000000"/>
                <w:kern w:val="0"/>
                <w:sz w:val="18"/>
                <w:szCs w:val="18"/>
              </w:rPr>
            </w:pPr>
          </w:p>
        </w:tc>
        <w:tc>
          <w:tcPr>
            <w:tcW w:w="412" w:type="pct"/>
            <w:vMerge w:val="continue"/>
            <w:tcBorders>
              <w:top w:val="nil"/>
              <w:left w:val="single" w:color="auto" w:sz="4" w:space="0"/>
              <w:bottom w:val="single" w:color="auto" w:sz="4" w:space="0"/>
              <w:right w:val="single" w:color="auto" w:sz="4" w:space="0"/>
            </w:tcBorders>
            <w:vAlign w:val="center"/>
          </w:tcPr>
          <w:p w14:paraId="5927E10C">
            <w:pPr>
              <w:widowControl/>
              <w:wordWrap w:val="0"/>
              <w:spacing w:line="240" w:lineRule="exact"/>
              <w:jc w:val="left"/>
              <w:rPr>
                <w:rFonts w:hint="eastAsia" w:ascii="宋体" w:hAnsi="宋体" w:cs="宋体"/>
                <w:b/>
                <w:bCs/>
                <w:color w:val="000000"/>
                <w:kern w:val="0"/>
                <w:sz w:val="18"/>
                <w:szCs w:val="18"/>
              </w:rPr>
            </w:pPr>
          </w:p>
        </w:tc>
        <w:tc>
          <w:tcPr>
            <w:tcW w:w="820" w:type="pct"/>
            <w:tcBorders>
              <w:top w:val="nil"/>
              <w:left w:val="nil"/>
              <w:bottom w:val="single" w:color="auto" w:sz="4" w:space="0"/>
              <w:right w:val="single" w:color="auto" w:sz="4" w:space="0"/>
            </w:tcBorders>
            <w:vAlign w:val="center"/>
          </w:tcPr>
          <w:p w14:paraId="69F17195">
            <w:pPr>
              <w:widowControl/>
              <w:wordWrap w:val="0"/>
              <w:spacing w:line="240" w:lineRule="exact"/>
              <w:jc w:val="center"/>
              <w:rPr>
                <w:rFonts w:hint="eastAsia" w:ascii="宋体" w:hAnsi="宋体" w:cs="宋体"/>
                <w:b/>
                <w:bCs/>
                <w:color w:val="000000"/>
                <w:kern w:val="0"/>
                <w:sz w:val="18"/>
                <w:szCs w:val="18"/>
              </w:rPr>
            </w:pPr>
            <w:r>
              <w:rPr>
                <w:rFonts w:hint="eastAsia" w:ascii="宋体" w:hAnsi="宋体" w:cs="宋体"/>
                <w:b/>
                <w:bCs/>
                <w:color w:val="000000"/>
                <w:kern w:val="0"/>
                <w:sz w:val="18"/>
                <w:szCs w:val="18"/>
              </w:rPr>
              <w:t>品质考核承诺</w:t>
            </w:r>
          </w:p>
        </w:tc>
        <w:tc>
          <w:tcPr>
            <w:tcW w:w="325" w:type="pct"/>
            <w:tcBorders>
              <w:top w:val="nil"/>
              <w:left w:val="nil"/>
              <w:bottom w:val="single" w:color="auto" w:sz="4" w:space="0"/>
              <w:right w:val="single" w:color="auto" w:sz="4" w:space="0"/>
            </w:tcBorders>
            <w:vAlign w:val="center"/>
          </w:tcPr>
          <w:p w14:paraId="6E9F545E">
            <w:pPr>
              <w:widowControl/>
              <w:wordWrap w:val="0"/>
              <w:spacing w:line="240" w:lineRule="exact"/>
              <w:jc w:val="center"/>
              <w:rPr>
                <w:rFonts w:hint="eastAsia" w:ascii="宋体" w:hAnsi="宋体" w:cs="宋体"/>
                <w:b/>
                <w:bCs/>
                <w:color w:val="000000"/>
                <w:kern w:val="0"/>
                <w:sz w:val="18"/>
                <w:szCs w:val="18"/>
              </w:rPr>
            </w:pPr>
            <w:r>
              <w:rPr>
                <w:rFonts w:hint="eastAsia" w:ascii="宋体" w:hAnsi="宋体" w:cs="宋体"/>
                <w:b/>
                <w:bCs/>
                <w:color w:val="000000"/>
                <w:kern w:val="0"/>
                <w:sz w:val="18"/>
                <w:szCs w:val="18"/>
              </w:rPr>
              <w:t>★</w:t>
            </w:r>
          </w:p>
        </w:tc>
        <w:tc>
          <w:tcPr>
            <w:tcW w:w="2675" w:type="pct"/>
            <w:tcBorders>
              <w:top w:val="nil"/>
              <w:left w:val="nil"/>
              <w:bottom w:val="single" w:color="auto" w:sz="4" w:space="0"/>
              <w:right w:val="single" w:color="auto" w:sz="4" w:space="0"/>
            </w:tcBorders>
            <w:vAlign w:val="center"/>
          </w:tcPr>
          <w:p w14:paraId="717481EC">
            <w:pPr>
              <w:widowControl/>
              <w:wordWrap w:val="0"/>
              <w:spacing w:line="240" w:lineRule="exact"/>
              <w:jc w:val="left"/>
              <w:rPr>
                <w:rFonts w:hint="eastAsia" w:ascii="宋体" w:hAnsi="宋体" w:cs="宋体"/>
                <w:b/>
                <w:bCs/>
                <w:color w:val="000000"/>
                <w:kern w:val="0"/>
                <w:sz w:val="18"/>
                <w:szCs w:val="18"/>
              </w:rPr>
            </w:pPr>
            <w:r>
              <w:rPr>
                <w:rFonts w:hint="eastAsia" w:ascii="宋体" w:hAnsi="宋体" w:cs="宋体"/>
                <w:b/>
                <w:bCs/>
                <w:color w:val="000000"/>
                <w:kern w:val="0"/>
                <w:sz w:val="18"/>
                <w:szCs w:val="18"/>
              </w:rPr>
              <w:t>★提供标书合同附件的《供应商质量质保协议》-盖章</w:t>
            </w:r>
          </w:p>
        </w:tc>
        <w:tc>
          <w:tcPr>
            <w:tcW w:w="605" w:type="pct"/>
            <w:vMerge w:val="continue"/>
            <w:tcBorders>
              <w:top w:val="nil"/>
              <w:left w:val="single" w:color="auto" w:sz="4" w:space="0"/>
              <w:bottom w:val="single" w:color="auto" w:sz="4" w:space="0"/>
              <w:right w:val="single" w:color="auto" w:sz="4" w:space="0"/>
            </w:tcBorders>
            <w:vAlign w:val="center"/>
          </w:tcPr>
          <w:p w14:paraId="1DA92A9B">
            <w:pPr>
              <w:widowControl/>
              <w:wordWrap w:val="0"/>
              <w:spacing w:line="240" w:lineRule="exact"/>
              <w:jc w:val="left"/>
              <w:rPr>
                <w:rFonts w:hint="eastAsia" w:ascii="宋体" w:hAnsi="宋体" w:cs="宋体"/>
                <w:color w:val="000000"/>
                <w:kern w:val="0"/>
                <w:sz w:val="18"/>
                <w:szCs w:val="18"/>
              </w:rPr>
            </w:pPr>
          </w:p>
        </w:tc>
      </w:tr>
      <w:tr w14:paraId="7AA60839">
        <w:tblPrEx>
          <w:tblCellMar>
            <w:top w:w="0" w:type="dxa"/>
            <w:left w:w="108" w:type="dxa"/>
            <w:bottom w:w="0" w:type="dxa"/>
            <w:right w:w="108" w:type="dxa"/>
          </w:tblCellMar>
        </w:tblPrEx>
        <w:trPr>
          <w:trHeight w:val="20" w:hRule="atLeast"/>
        </w:trPr>
        <w:tc>
          <w:tcPr>
            <w:tcW w:w="161" w:type="pct"/>
            <w:vMerge w:val="continue"/>
            <w:tcBorders>
              <w:top w:val="nil"/>
              <w:left w:val="single" w:color="auto" w:sz="4" w:space="0"/>
              <w:bottom w:val="single" w:color="auto" w:sz="4" w:space="0"/>
              <w:right w:val="single" w:color="auto" w:sz="4" w:space="0"/>
            </w:tcBorders>
            <w:vAlign w:val="center"/>
          </w:tcPr>
          <w:p w14:paraId="5153B704">
            <w:pPr>
              <w:widowControl/>
              <w:wordWrap w:val="0"/>
              <w:spacing w:line="240" w:lineRule="exact"/>
              <w:jc w:val="left"/>
              <w:rPr>
                <w:rFonts w:hint="eastAsia" w:ascii="宋体" w:hAnsi="宋体" w:cs="宋体"/>
                <w:b/>
                <w:bCs/>
                <w:color w:val="000000"/>
                <w:kern w:val="0"/>
                <w:sz w:val="18"/>
                <w:szCs w:val="18"/>
              </w:rPr>
            </w:pPr>
          </w:p>
        </w:tc>
        <w:tc>
          <w:tcPr>
            <w:tcW w:w="412" w:type="pct"/>
            <w:vMerge w:val="continue"/>
            <w:tcBorders>
              <w:top w:val="nil"/>
              <w:left w:val="single" w:color="auto" w:sz="4" w:space="0"/>
              <w:bottom w:val="single" w:color="auto" w:sz="4" w:space="0"/>
              <w:right w:val="single" w:color="auto" w:sz="4" w:space="0"/>
            </w:tcBorders>
            <w:vAlign w:val="center"/>
          </w:tcPr>
          <w:p w14:paraId="13A0FFFA">
            <w:pPr>
              <w:widowControl/>
              <w:wordWrap w:val="0"/>
              <w:spacing w:line="240" w:lineRule="exact"/>
              <w:jc w:val="left"/>
              <w:rPr>
                <w:rFonts w:hint="eastAsia" w:ascii="宋体" w:hAnsi="宋体" w:cs="宋体"/>
                <w:b/>
                <w:bCs/>
                <w:color w:val="000000"/>
                <w:kern w:val="0"/>
                <w:sz w:val="18"/>
                <w:szCs w:val="18"/>
              </w:rPr>
            </w:pPr>
          </w:p>
        </w:tc>
        <w:tc>
          <w:tcPr>
            <w:tcW w:w="820" w:type="pct"/>
            <w:tcBorders>
              <w:top w:val="nil"/>
              <w:left w:val="nil"/>
              <w:bottom w:val="single" w:color="auto" w:sz="4" w:space="0"/>
              <w:right w:val="single" w:color="auto" w:sz="4" w:space="0"/>
            </w:tcBorders>
            <w:vAlign w:val="center"/>
          </w:tcPr>
          <w:p w14:paraId="2288E666">
            <w:pPr>
              <w:widowControl/>
              <w:wordWrap w:val="0"/>
              <w:spacing w:line="240" w:lineRule="exact"/>
              <w:jc w:val="center"/>
              <w:rPr>
                <w:rFonts w:hint="eastAsia" w:ascii="宋体" w:hAnsi="宋体" w:cs="宋体"/>
                <w:b/>
                <w:bCs/>
                <w:color w:val="000000"/>
                <w:kern w:val="0"/>
                <w:sz w:val="18"/>
                <w:szCs w:val="18"/>
              </w:rPr>
            </w:pPr>
            <w:r>
              <w:rPr>
                <w:rFonts w:hint="eastAsia" w:ascii="宋体" w:hAnsi="宋体" w:cs="宋体"/>
                <w:b/>
                <w:bCs/>
                <w:color w:val="000000"/>
                <w:kern w:val="0"/>
                <w:sz w:val="18"/>
                <w:szCs w:val="18"/>
              </w:rPr>
              <w:t>品质改善</w:t>
            </w:r>
          </w:p>
        </w:tc>
        <w:tc>
          <w:tcPr>
            <w:tcW w:w="325" w:type="pct"/>
            <w:tcBorders>
              <w:top w:val="nil"/>
              <w:left w:val="nil"/>
              <w:bottom w:val="single" w:color="auto" w:sz="4" w:space="0"/>
              <w:right w:val="single" w:color="auto" w:sz="4" w:space="0"/>
            </w:tcBorders>
            <w:vAlign w:val="center"/>
          </w:tcPr>
          <w:p w14:paraId="78FBA2F4">
            <w:pPr>
              <w:widowControl/>
              <w:wordWrap w:val="0"/>
              <w:spacing w:line="240" w:lineRule="exact"/>
              <w:jc w:val="center"/>
              <w:rPr>
                <w:rFonts w:hint="eastAsia" w:ascii="宋体" w:hAnsi="宋体" w:cs="宋体"/>
                <w:b/>
                <w:bCs/>
                <w:color w:val="000000"/>
                <w:kern w:val="0"/>
                <w:sz w:val="18"/>
                <w:szCs w:val="18"/>
              </w:rPr>
            </w:pPr>
            <w:r>
              <w:rPr>
                <w:rFonts w:hint="eastAsia" w:ascii="宋体" w:hAnsi="宋体" w:cs="宋体"/>
                <w:b/>
                <w:bCs/>
                <w:color w:val="000000"/>
                <w:kern w:val="0"/>
                <w:sz w:val="18"/>
                <w:szCs w:val="18"/>
              </w:rPr>
              <w:t>★</w:t>
            </w:r>
          </w:p>
        </w:tc>
        <w:tc>
          <w:tcPr>
            <w:tcW w:w="2675" w:type="pct"/>
            <w:tcBorders>
              <w:top w:val="nil"/>
              <w:left w:val="nil"/>
              <w:bottom w:val="single" w:color="auto" w:sz="4" w:space="0"/>
              <w:right w:val="single" w:color="auto" w:sz="4" w:space="0"/>
            </w:tcBorders>
            <w:vAlign w:val="center"/>
          </w:tcPr>
          <w:p w14:paraId="6F0839CE">
            <w:pPr>
              <w:pStyle w:val="28"/>
              <w:widowControl/>
              <w:numPr>
                <w:ilvl w:val="0"/>
                <w:numId w:val="6"/>
              </w:numPr>
              <w:wordWrap w:val="0"/>
              <w:spacing w:line="240" w:lineRule="exact"/>
              <w:ind w:left="0" w:firstLine="0" w:firstLineChars="0"/>
              <w:jc w:val="left"/>
              <w:rPr>
                <w:rFonts w:hint="eastAsia" w:ascii="宋体" w:hAnsi="宋体" w:eastAsia="宋体" w:cs="宋体"/>
                <w:b/>
                <w:bCs/>
                <w:color w:val="000000"/>
                <w:kern w:val="0"/>
                <w:sz w:val="18"/>
                <w:szCs w:val="18"/>
              </w:rPr>
            </w:pPr>
            <w:r>
              <w:rPr>
                <w:rFonts w:hint="eastAsia" w:ascii="宋体" w:hAnsi="宋体" w:eastAsia="宋体" w:cs="宋体"/>
                <w:b/>
                <w:bCs/>
                <w:color w:val="000000"/>
                <w:kern w:val="0"/>
                <w:sz w:val="18"/>
                <w:szCs w:val="18"/>
              </w:rPr>
              <w:t>提供相关供货产品的品质改善管理方案或流程范例</w:t>
            </w:r>
            <w:r>
              <w:rPr>
                <w:rFonts w:hint="eastAsia" w:ascii="宋体" w:hAnsi="宋体" w:eastAsia="宋体" w:cs="宋体"/>
                <w:b/>
                <w:bCs/>
                <w:color w:val="0000FF"/>
                <w:kern w:val="0"/>
                <w:sz w:val="18"/>
                <w:szCs w:val="18"/>
              </w:rPr>
              <w:t>【如环境、方法、设备、人员、测量、材料、设计等】</w:t>
            </w:r>
            <w:r>
              <w:rPr>
                <w:rFonts w:hint="eastAsia" w:ascii="宋体" w:hAnsi="宋体" w:eastAsia="宋体" w:cs="宋体"/>
                <w:b/>
                <w:bCs/>
                <w:color w:val="000000"/>
                <w:kern w:val="0"/>
                <w:sz w:val="18"/>
                <w:szCs w:val="18"/>
              </w:rPr>
              <w:t>或提供拟招标标的件或同类件的质量整改8D报告</w:t>
            </w:r>
            <w:r>
              <w:rPr>
                <w:rFonts w:hint="eastAsia" w:ascii="宋体" w:hAnsi="宋体" w:eastAsia="宋体" w:cs="宋体"/>
                <w:b/>
                <w:bCs/>
                <w:color w:val="FF0000"/>
                <w:kern w:val="0"/>
                <w:sz w:val="18"/>
                <w:szCs w:val="18"/>
              </w:rPr>
              <w:t>1</w:t>
            </w:r>
            <w:r>
              <w:rPr>
                <w:rFonts w:hint="eastAsia" w:ascii="宋体" w:hAnsi="宋体" w:eastAsia="宋体" w:cs="宋体"/>
                <w:b/>
                <w:bCs/>
                <w:color w:val="000000"/>
                <w:kern w:val="0"/>
                <w:sz w:val="18"/>
                <w:szCs w:val="18"/>
              </w:rPr>
              <w:t>份；</w:t>
            </w:r>
          </w:p>
          <w:p w14:paraId="299E94A4">
            <w:pPr>
              <w:pStyle w:val="28"/>
              <w:widowControl/>
              <w:numPr>
                <w:ilvl w:val="0"/>
                <w:numId w:val="6"/>
              </w:numPr>
              <w:wordWrap w:val="0"/>
              <w:spacing w:line="240" w:lineRule="exact"/>
              <w:ind w:left="0" w:firstLine="0" w:firstLineChars="0"/>
              <w:jc w:val="left"/>
              <w:rPr>
                <w:rFonts w:hint="eastAsia" w:ascii="宋体" w:hAnsi="宋体" w:eastAsia="宋体" w:cs="宋体"/>
                <w:b/>
                <w:bCs/>
                <w:color w:val="000000"/>
                <w:kern w:val="0"/>
                <w:sz w:val="18"/>
                <w:szCs w:val="18"/>
              </w:rPr>
            </w:pPr>
            <w:r>
              <w:rPr>
                <w:rFonts w:hint="eastAsia" w:ascii="宋体" w:hAnsi="宋体" w:eastAsia="宋体" w:cs="宋体"/>
                <w:b/>
                <w:bCs/>
                <w:color w:val="000000"/>
                <w:kern w:val="0"/>
                <w:sz w:val="18"/>
                <w:szCs w:val="18"/>
              </w:rPr>
              <w:t>快速响应主机厂的质量反馈的机制及模式介绍</w:t>
            </w:r>
            <w:r>
              <w:rPr>
                <w:rFonts w:hint="eastAsia" w:ascii="宋体" w:hAnsi="宋体" w:eastAsia="宋体" w:cs="宋体"/>
                <w:b/>
                <w:bCs/>
                <w:color w:val="0000FF"/>
                <w:kern w:val="0"/>
                <w:sz w:val="18"/>
                <w:szCs w:val="18"/>
              </w:rPr>
              <w:t>【包含但不限于质量、技术人员快速诊断及锁定问题点，临时措施及快速解决质量造成的影响应对方案，分级分层管理彻底解决质量异常源头问题并做预防性措施方案】；</w:t>
            </w:r>
          </w:p>
          <w:p w14:paraId="7897525B">
            <w:pPr>
              <w:pStyle w:val="14"/>
              <w:widowControl/>
              <w:numPr>
                <w:ilvl w:val="0"/>
                <w:numId w:val="6"/>
              </w:numPr>
              <w:wordWrap w:val="0"/>
              <w:spacing w:line="240" w:lineRule="exact"/>
              <w:ind w:left="0" w:firstLine="0" w:firstLineChars="0"/>
              <w:jc w:val="left"/>
              <w:rPr>
                <w:rFonts w:hint="eastAsia" w:ascii="宋体" w:hAnsi="宋体" w:cs="宋体"/>
                <w:b/>
                <w:bCs/>
                <w:color w:val="000000"/>
                <w:kern w:val="0"/>
                <w:sz w:val="18"/>
                <w:szCs w:val="18"/>
              </w:rPr>
            </w:pPr>
            <w:r>
              <w:rPr>
                <w:rFonts w:hint="eastAsia" w:ascii="宋体" w:hAnsi="宋体" w:cs="宋体"/>
                <w:b/>
                <w:bCs/>
                <w:color w:val="000000"/>
                <w:kern w:val="0"/>
                <w:sz w:val="18"/>
                <w:szCs w:val="18"/>
              </w:rPr>
              <w:t>配合品管部门在产品质量异常时做改善响应及品质工程监察的承诺函；</w:t>
            </w:r>
          </w:p>
        </w:tc>
        <w:tc>
          <w:tcPr>
            <w:tcW w:w="605" w:type="pct"/>
            <w:vMerge w:val="continue"/>
            <w:tcBorders>
              <w:top w:val="nil"/>
              <w:left w:val="single" w:color="auto" w:sz="4" w:space="0"/>
              <w:bottom w:val="single" w:color="auto" w:sz="4" w:space="0"/>
              <w:right w:val="single" w:color="auto" w:sz="4" w:space="0"/>
            </w:tcBorders>
            <w:vAlign w:val="center"/>
          </w:tcPr>
          <w:p w14:paraId="603F622B">
            <w:pPr>
              <w:widowControl/>
              <w:wordWrap w:val="0"/>
              <w:spacing w:line="240" w:lineRule="exact"/>
              <w:jc w:val="left"/>
              <w:rPr>
                <w:rFonts w:hint="eastAsia" w:ascii="宋体" w:hAnsi="宋体" w:cs="宋体"/>
                <w:color w:val="000000"/>
                <w:kern w:val="0"/>
                <w:sz w:val="18"/>
                <w:szCs w:val="18"/>
              </w:rPr>
            </w:pPr>
          </w:p>
        </w:tc>
      </w:tr>
      <w:tr w14:paraId="65B475B8">
        <w:tblPrEx>
          <w:tblCellMar>
            <w:top w:w="0" w:type="dxa"/>
            <w:left w:w="108" w:type="dxa"/>
            <w:bottom w:w="0" w:type="dxa"/>
            <w:right w:w="108" w:type="dxa"/>
          </w:tblCellMar>
        </w:tblPrEx>
        <w:trPr>
          <w:trHeight w:val="20" w:hRule="atLeast"/>
        </w:trPr>
        <w:tc>
          <w:tcPr>
            <w:tcW w:w="161" w:type="pct"/>
            <w:vMerge w:val="continue"/>
            <w:tcBorders>
              <w:top w:val="nil"/>
              <w:left w:val="single" w:color="auto" w:sz="4" w:space="0"/>
              <w:bottom w:val="single" w:color="auto" w:sz="4" w:space="0"/>
              <w:right w:val="single" w:color="auto" w:sz="4" w:space="0"/>
            </w:tcBorders>
            <w:vAlign w:val="center"/>
          </w:tcPr>
          <w:p w14:paraId="4E967588">
            <w:pPr>
              <w:widowControl/>
              <w:wordWrap w:val="0"/>
              <w:spacing w:line="240" w:lineRule="exact"/>
              <w:jc w:val="left"/>
              <w:rPr>
                <w:rFonts w:hint="eastAsia" w:ascii="宋体" w:hAnsi="宋体" w:cs="宋体"/>
                <w:b/>
                <w:bCs/>
                <w:color w:val="000000"/>
                <w:kern w:val="0"/>
                <w:sz w:val="18"/>
                <w:szCs w:val="18"/>
              </w:rPr>
            </w:pPr>
          </w:p>
        </w:tc>
        <w:tc>
          <w:tcPr>
            <w:tcW w:w="412" w:type="pct"/>
            <w:vMerge w:val="continue"/>
            <w:tcBorders>
              <w:top w:val="nil"/>
              <w:left w:val="single" w:color="auto" w:sz="4" w:space="0"/>
              <w:bottom w:val="single" w:color="auto" w:sz="4" w:space="0"/>
              <w:right w:val="single" w:color="auto" w:sz="4" w:space="0"/>
            </w:tcBorders>
            <w:vAlign w:val="center"/>
          </w:tcPr>
          <w:p w14:paraId="7D27C1F0">
            <w:pPr>
              <w:widowControl/>
              <w:wordWrap w:val="0"/>
              <w:spacing w:line="240" w:lineRule="exact"/>
              <w:jc w:val="left"/>
              <w:rPr>
                <w:rFonts w:hint="eastAsia" w:ascii="宋体" w:hAnsi="宋体" w:cs="宋体"/>
                <w:b/>
                <w:bCs/>
                <w:color w:val="000000"/>
                <w:kern w:val="0"/>
                <w:sz w:val="18"/>
                <w:szCs w:val="18"/>
              </w:rPr>
            </w:pPr>
          </w:p>
        </w:tc>
        <w:tc>
          <w:tcPr>
            <w:tcW w:w="820" w:type="pct"/>
            <w:tcBorders>
              <w:top w:val="nil"/>
              <w:left w:val="nil"/>
              <w:bottom w:val="single" w:color="auto" w:sz="4" w:space="0"/>
              <w:right w:val="single" w:color="auto" w:sz="4" w:space="0"/>
            </w:tcBorders>
            <w:vAlign w:val="center"/>
          </w:tcPr>
          <w:p w14:paraId="0ED4DB50">
            <w:pPr>
              <w:widowControl/>
              <w:wordWrap w:val="0"/>
              <w:spacing w:line="240" w:lineRule="exact"/>
              <w:jc w:val="center"/>
              <w:rPr>
                <w:rFonts w:hint="eastAsia" w:ascii="宋体" w:hAnsi="宋体" w:cs="宋体"/>
                <w:b/>
                <w:bCs/>
                <w:color w:val="000000"/>
                <w:kern w:val="0"/>
                <w:sz w:val="18"/>
                <w:szCs w:val="18"/>
              </w:rPr>
            </w:pPr>
            <w:r>
              <w:rPr>
                <w:rFonts w:hint="eastAsia" w:ascii="宋体" w:hAnsi="宋体" w:cs="宋体"/>
                <w:b/>
                <w:bCs/>
                <w:color w:val="000000"/>
                <w:kern w:val="0"/>
                <w:sz w:val="18"/>
                <w:szCs w:val="18"/>
              </w:rPr>
              <w:t>其它品质项加分项-</w:t>
            </w:r>
          </w:p>
          <w:p w14:paraId="5AEA4D2D">
            <w:pPr>
              <w:widowControl/>
              <w:wordWrap w:val="0"/>
              <w:spacing w:line="240" w:lineRule="exact"/>
              <w:jc w:val="center"/>
              <w:rPr>
                <w:rFonts w:hint="eastAsia" w:ascii="宋体" w:hAnsi="宋体" w:cs="宋体"/>
                <w:b/>
                <w:bCs/>
                <w:color w:val="000000"/>
                <w:kern w:val="0"/>
                <w:sz w:val="18"/>
                <w:szCs w:val="18"/>
              </w:rPr>
            </w:pPr>
            <w:r>
              <w:rPr>
                <w:rFonts w:hint="eastAsia" w:ascii="宋体" w:hAnsi="宋体" w:cs="宋体"/>
                <w:b/>
                <w:bCs/>
                <w:color w:val="000000"/>
                <w:kern w:val="0"/>
                <w:sz w:val="18"/>
                <w:szCs w:val="18"/>
              </w:rPr>
              <w:t>品质获奖项</w:t>
            </w:r>
          </w:p>
        </w:tc>
        <w:tc>
          <w:tcPr>
            <w:tcW w:w="325" w:type="pct"/>
            <w:tcBorders>
              <w:top w:val="nil"/>
              <w:left w:val="nil"/>
              <w:bottom w:val="single" w:color="auto" w:sz="4" w:space="0"/>
              <w:right w:val="single" w:color="auto" w:sz="4" w:space="0"/>
            </w:tcBorders>
            <w:vAlign w:val="center"/>
          </w:tcPr>
          <w:p w14:paraId="699FB00E">
            <w:pPr>
              <w:widowControl/>
              <w:wordWrap w:val="0"/>
              <w:spacing w:line="240" w:lineRule="exact"/>
              <w:jc w:val="center"/>
              <w:rPr>
                <w:rFonts w:hint="eastAsia" w:ascii="宋体" w:hAnsi="宋体" w:cs="宋体"/>
                <w:b/>
                <w:bCs/>
                <w:color w:val="000000"/>
                <w:kern w:val="0"/>
                <w:sz w:val="18"/>
                <w:szCs w:val="18"/>
              </w:rPr>
            </w:pPr>
            <w:r>
              <w:rPr>
                <w:rFonts w:hint="eastAsia" w:ascii="宋体" w:hAnsi="宋体" w:cs="宋体"/>
                <w:b/>
                <w:bCs/>
                <w:color w:val="000000"/>
                <w:kern w:val="0"/>
                <w:sz w:val="18"/>
                <w:szCs w:val="18"/>
              </w:rPr>
              <w:t>▲</w:t>
            </w:r>
          </w:p>
        </w:tc>
        <w:tc>
          <w:tcPr>
            <w:tcW w:w="2675" w:type="pct"/>
            <w:tcBorders>
              <w:top w:val="nil"/>
              <w:left w:val="nil"/>
              <w:bottom w:val="single" w:color="auto" w:sz="4" w:space="0"/>
              <w:right w:val="single" w:color="auto" w:sz="4" w:space="0"/>
            </w:tcBorders>
            <w:vAlign w:val="center"/>
          </w:tcPr>
          <w:p w14:paraId="231F2A05">
            <w:pPr>
              <w:pStyle w:val="28"/>
              <w:widowControl/>
              <w:numPr>
                <w:ilvl w:val="0"/>
                <w:numId w:val="7"/>
              </w:numPr>
              <w:wordWrap w:val="0"/>
              <w:spacing w:line="240" w:lineRule="exact"/>
              <w:ind w:left="0" w:firstLine="0" w:firstLineChars="0"/>
              <w:jc w:val="left"/>
              <w:rPr>
                <w:rFonts w:hint="eastAsia" w:ascii="宋体" w:hAnsi="宋体" w:eastAsia="宋体" w:cs="宋体"/>
                <w:b/>
                <w:bCs/>
                <w:color w:val="000000"/>
                <w:kern w:val="0"/>
                <w:sz w:val="18"/>
                <w:szCs w:val="18"/>
              </w:rPr>
            </w:pPr>
            <w:r>
              <w:rPr>
                <w:rFonts w:hint="eastAsia" w:ascii="宋体" w:hAnsi="宋体" w:eastAsia="宋体" w:cs="宋体"/>
                <w:b/>
                <w:bCs/>
                <w:color w:val="000000"/>
                <w:kern w:val="0"/>
                <w:sz w:val="18"/>
                <w:szCs w:val="18"/>
              </w:rPr>
              <w:t>近三年获主流客车厂/商用车厂优秀供应商/质量奖等类似奖项等；</w:t>
            </w:r>
          </w:p>
          <w:p w14:paraId="7D9BD728">
            <w:pPr>
              <w:pStyle w:val="28"/>
              <w:widowControl/>
              <w:numPr>
                <w:ilvl w:val="0"/>
                <w:numId w:val="7"/>
              </w:numPr>
              <w:wordWrap w:val="0"/>
              <w:spacing w:line="240" w:lineRule="exact"/>
              <w:ind w:left="0" w:firstLine="0" w:firstLineChars="0"/>
              <w:jc w:val="left"/>
              <w:rPr>
                <w:rFonts w:hint="eastAsia" w:ascii="宋体" w:hAnsi="宋体" w:eastAsia="宋体" w:cs="宋体"/>
                <w:b/>
                <w:bCs/>
                <w:color w:val="000000"/>
                <w:kern w:val="0"/>
                <w:sz w:val="18"/>
                <w:szCs w:val="18"/>
              </w:rPr>
            </w:pPr>
            <w:r>
              <w:rPr>
                <w:rFonts w:hint="eastAsia" w:ascii="宋体" w:hAnsi="宋体" w:eastAsia="宋体" w:cs="宋体"/>
                <w:b/>
                <w:bCs/>
                <w:color w:val="000000"/>
                <w:kern w:val="0"/>
                <w:sz w:val="18"/>
                <w:szCs w:val="18"/>
              </w:rPr>
              <w:t>近三年获得国家/省/市质量奖等；</w:t>
            </w:r>
          </w:p>
          <w:p w14:paraId="5E9A1576">
            <w:pPr>
              <w:pStyle w:val="28"/>
              <w:widowControl/>
              <w:numPr>
                <w:ilvl w:val="0"/>
                <w:numId w:val="7"/>
              </w:numPr>
              <w:wordWrap w:val="0"/>
              <w:spacing w:line="240" w:lineRule="exact"/>
              <w:ind w:left="0" w:firstLine="0" w:firstLineChars="0"/>
              <w:jc w:val="left"/>
              <w:rPr>
                <w:rFonts w:hint="eastAsia" w:ascii="宋体" w:hAnsi="宋体" w:eastAsia="宋体" w:cs="宋体"/>
                <w:b/>
                <w:bCs/>
                <w:color w:val="000000"/>
                <w:kern w:val="0"/>
                <w:sz w:val="18"/>
                <w:szCs w:val="18"/>
              </w:rPr>
            </w:pPr>
            <w:r>
              <w:rPr>
                <w:rFonts w:hint="eastAsia" w:ascii="宋体" w:hAnsi="宋体" w:eastAsia="宋体" w:cs="宋体"/>
                <w:b/>
                <w:bCs/>
                <w:color w:val="000000"/>
                <w:kern w:val="0"/>
                <w:sz w:val="18"/>
                <w:szCs w:val="18"/>
              </w:rPr>
              <w:t>采用QMS软件对企业进行质量管理等；</w:t>
            </w:r>
          </w:p>
          <w:p w14:paraId="77DEC2E9">
            <w:pPr>
              <w:pStyle w:val="14"/>
              <w:widowControl/>
              <w:numPr>
                <w:ilvl w:val="0"/>
                <w:numId w:val="7"/>
              </w:numPr>
              <w:wordWrap w:val="0"/>
              <w:spacing w:line="240" w:lineRule="exact"/>
              <w:ind w:left="0" w:firstLine="0" w:firstLineChars="0"/>
              <w:jc w:val="left"/>
              <w:rPr>
                <w:rFonts w:hint="eastAsia" w:ascii="宋体" w:hAnsi="宋体" w:cs="宋体"/>
                <w:b/>
                <w:bCs/>
                <w:color w:val="000000"/>
                <w:kern w:val="0"/>
                <w:sz w:val="18"/>
                <w:szCs w:val="18"/>
              </w:rPr>
            </w:pPr>
            <w:r>
              <w:rPr>
                <w:rFonts w:hint="eastAsia" w:ascii="宋体" w:hAnsi="宋体" w:cs="宋体"/>
                <w:b/>
                <w:bCs/>
                <w:color w:val="000000"/>
                <w:kern w:val="0"/>
                <w:sz w:val="18"/>
                <w:szCs w:val="18"/>
              </w:rPr>
              <w:t>通过其他体系认证【如ESG、信息安全、环境、职业健康、绿色供应链等】；</w:t>
            </w:r>
          </w:p>
        </w:tc>
        <w:tc>
          <w:tcPr>
            <w:tcW w:w="605" w:type="pct"/>
            <w:vMerge w:val="continue"/>
            <w:tcBorders>
              <w:top w:val="nil"/>
              <w:left w:val="single" w:color="auto" w:sz="4" w:space="0"/>
              <w:bottom w:val="single" w:color="auto" w:sz="4" w:space="0"/>
              <w:right w:val="single" w:color="auto" w:sz="4" w:space="0"/>
            </w:tcBorders>
            <w:vAlign w:val="center"/>
          </w:tcPr>
          <w:p w14:paraId="37E84BE6">
            <w:pPr>
              <w:widowControl/>
              <w:wordWrap w:val="0"/>
              <w:spacing w:line="240" w:lineRule="exact"/>
              <w:jc w:val="left"/>
              <w:rPr>
                <w:rFonts w:hint="eastAsia" w:ascii="宋体" w:hAnsi="宋体" w:cs="宋体"/>
                <w:color w:val="000000"/>
                <w:kern w:val="0"/>
                <w:sz w:val="18"/>
                <w:szCs w:val="18"/>
              </w:rPr>
            </w:pPr>
          </w:p>
        </w:tc>
      </w:tr>
      <w:tr w14:paraId="4B5C3BEB">
        <w:tblPrEx>
          <w:tblCellMar>
            <w:top w:w="0" w:type="dxa"/>
            <w:left w:w="108" w:type="dxa"/>
            <w:bottom w:w="0" w:type="dxa"/>
            <w:right w:w="108" w:type="dxa"/>
          </w:tblCellMar>
        </w:tblPrEx>
        <w:trPr>
          <w:trHeight w:val="20" w:hRule="atLeast"/>
        </w:trPr>
        <w:tc>
          <w:tcPr>
            <w:tcW w:w="161" w:type="pct"/>
            <w:vMerge w:val="restart"/>
            <w:tcBorders>
              <w:top w:val="nil"/>
              <w:left w:val="single" w:color="auto" w:sz="4" w:space="0"/>
              <w:bottom w:val="single" w:color="auto" w:sz="4" w:space="0"/>
              <w:right w:val="single" w:color="auto" w:sz="4" w:space="0"/>
            </w:tcBorders>
            <w:vAlign w:val="center"/>
          </w:tcPr>
          <w:p w14:paraId="5714F267">
            <w:pPr>
              <w:widowControl/>
              <w:wordWrap w:val="0"/>
              <w:spacing w:line="240" w:lineRule="exact"/>
              <w:jc w:val="center"/>
              <w:rPr>
                <w:rFonts w:hint="eastAsia" w:ascii="宋体" w:hAnsi="宋体" w:cs="宋体"/>
                <w:b/>
                <w:bCs/>
                <w:color w:val="000000"/>
                <w:kern w:val="0"/>
                <w:sz w:val="18"/>
                <w:szCs w:val="18"/>
              </w:rPr>
            </w:pPr>
            <w:r>
              <w:rPr>
                <w:rFonts w:hint="eastAsia" w:ascii="宋体" w:hAnsi="宋体" w:cs="宋体"/>
                <w:b/>
                <w:bCs/>
                <w:color w:val="000000"/>
                <w:kern w:val="0"/>
                <w:sz w:val="18"/>
                <w:szCs w:val="18"/>
              </w:rPr>
              <w:t>3</w:t>
            </w:r>
          </w:p>
        </w:tc>
        <w:tc>
          <w:tcPr>
            <w:tcW w:w="412" w:type="pct"/>
            <w:vMerge w:val="restart"/>
            <w:tcBorders>
              <w:top w:val="nil"/>
              <w:left w:val="single" w:color="auto" w:sz="4" w:space="0"/>
              <w:bottom w:val="single" w:color="auto" w:sz="4" w:space="0"/>
              <w:right w:val="single" w:color="auto" w:sz="4" w:space="0"/>
            </w:tcBorders>
            <w:vAlign w:val="center"/>
          </w:tcPr>
          <w:p w14:paraId="59A43C19">
            <w:pPr>
              <w:widowControl/>
              <w:wordWrap w:val="0"/>
              <w:spacing w:line="240" w:lineRule="exact"/>
              <w:jc w:val="center"/>
              <w:rPr>
                <w:rFonts w:hint="eastAsia" w:ascii="宋体" w:hAnsi="宋体" w:cs="宋体"/>
                <w:b/>
                <w:bCs/>
                <w:color w:val="000000"/>
                <w:kern w:val="0"/>
                <w:sz w:val="18"/>
                <w:szCs w:val="18"/>
              </w:rPr>
            </w:pPr>
            <w:r>
              <w:rPr>
                <w:rFonts w:hint="eastAsia" w:ascii="宋体" w:hAnsi="宋体" w:cs="宋体"/>
                <w:b/>
                <w:bCs/>
                <w:color w:val="000000"/>
                <w:kern w:val="0"/>
                <w:sz w:val="18"/>
                <w:szCs w:val="18"/>
              </w:rPr>
              <w:t>供应D</w:t>
            </w:r>
          </w:p>
        </w:tc>
        <w:tc>
          <w:tcPr>
            <w:tcW w:w="820" w:type="pct"/>
            <w:tcBorders>
              <w:top w:val="nil"/>
              <w:left w:val="nil"/>
              <w:bottom w:val="single" w:color="auto" w:sz="4" w:space="0"/>
              <w:right w:val="single" w:color="auto" w:sz="4" w:space="0"/>
            </w:tcBorders>
            <w:vAlign w:val="center"/>
          </w:tcPr>
          <w:p w14:paraId="0CA26D64">
            <w:pPr>
              <w:widowControl/>
              <w:wordWrap w:val="0"/>
              <w:spacing w:line="240" w:lineRule="exact"/>
              <w:jc w:val="center"/>
              <w:rPr>
                <w:rFonts w:hint="eastAsia" w:ascii="宋体" w:hAnsi="宋体" w:cs="宋体"/>
                <w:b/>
                <w:bCs/>
                <w:color w:val="000000"/>
                <w:kern w:val="0"/>
                <w:sz w:val="18"/>
                <w:szCs w:val="18"/>
              </w:rPr>
            </w:pPr>
            <w:r>
              <w:rPr>
                <w:rFonts w:hint="eastAsia" w:ascii="宋体" w:hAnsi="宋体" w:cs="宋体"/>
                <w:b/>
                <w:bCs/>
                <w:color w:val="000000"/>
                <w:kern w:val="0"/>
                <w:sz w:val="18"/>
                <w:szCs w:val="18"/>
              </w:rPr>
              <w:t>供应配套半径</w:t>
            </w:r>
          </w:p>
        </w:tc>
        <w:tc>
          <w:tcPr>
            <w:tcW w:w="325" w:type="pct"/>
            <w:tcBorders>
              <w:top w:val="nil"/>
              <w:left w:val="nil"/>
              <w:bottom w:val="single" w:color="auto" w:sz="4" w:space="0"/>
              <w:right w:val="single" w:color="auto" w:sz="4" w:space="0"/>
            </w:tcBorders>
            <w:vAlign w:val="center"/>
          </w:tcPr>
          <w:p w14:paraId="4E4B54CB">
            <w:pPr>
              <w:widowControl/>
              <w:wordWrap w:val="0"/>
              <w:spacing w:line="240" w:lineRule="exact"/>
              <w:jc w:val="center"/>
              <w:rPr>
                <w:rFonts w:hint="eastAsia" w:ascii="宋体" w:hAnsi="宋体" w:cs="宋体"/>
                <w:b/>
                <w:bCs/>
                <w:color w:val="000000"/>
                <w:kern w:val="0"/>
                <w:sz w:val="18"/>
                <w:szCs w:val="18"/>
              </w:rPr>
            </w:pPr>
            <w:r>
              <w:rPr>
                <w:rFonts w:hint="eastAsia" w:ascii="宋体" w:hAnsi="宋体" w:cs="宋体"/>
                <w:b/>
                <w:bCs/>
                <w:color w:val="000000"/>
                <w:kern w:val="0"/>
                <w:sz w:val="18"/>
                <w:szCs w:val="18"/>
              </w:rPr>
              <w:t>★</w:t>
            </w:r>
          </w:p>
        </w:tc>
        <w:tc>
          <w:tcPr>
            <w:tcW w:w="2675" w:type="pct"/>
            <w:tcBorders>
              <w:top w:val="nil"/>
              <w:left w:val="nil"/>
              <w:bottom w:val="single" w:color="auto" w:sz="4" w:space="0"/>
              <w:right w:val="single" w:color="auto" w:sz="4" w:space="0"/>
            </w:tcBorders>
            <w:vAlign w:val="center"/>
          </w:tcPr>
          <w:p w14:paraId="6B2366A7">
            <w:pPr>
              <w:widowControl/>
              <w:wordWrap w:val="0"/>
              <w:spacing w:line="240" w:lineRule="exact"/>
              <w:jc w:val="left"/>
              <w:rPr>
                <w:rFonts w:hint="eastAsia" w:ascii="宋体" w:hAnsi="宋体" w:cs="宋体"/>
                <w:b/>
                <w:bCs/>
                <w:color w:val="000000"/>
                <w:kern w:val="0"/>
                <w:sz w:val="18"/>
                <w:szCs w:val="18"/>
              </w:rPr>
            </w:pPr>
            <w:r>
              <w:rPr>
                <w:rFonts w:hint="eastAsia" w:ascii="宋体" w:hAnsi="宋体" w:cs="宋体"/>
                <w:b/>
                <w:bCs/>
                <w:color w:val="000000"/>
                <w:kern w:val="0"/>
                <w:sz w:val="18"/>
                <w:szCs w:val="18"/>
              </w:rPr>
              <w:t>实际生产场地</w:t>
            </w:r>
            <w:r>
              <w:rPr>
                <w:rFonts w:hint="eastAsia" w:ascii="宋体" w:hAnsi="宋体" w:cs="宋体"/>
                <w:b/>
                <w:bCs/>
                <w:kern w:val="0"/>
                <w:sz w:val="18"/>
                <w:szCs w:val="18"/>
              </w:rPr>
              <w:t>或</w:t>
            </w:r>
            <w:r>
              <w:rPr>
                <w:rFonts w:hint="eastAsia" w:ascii="宋体" w:hAnsi="宋体" w:cs="宋体"/>
                <w:b/>
                <w:bCs/>
                <w:color w:val="0000FF"/>
                <w:kern w:val="0"/>
                <w:sz w:val="18"/>
                <w:szCs w:val="18"/>
              </w:rPr>
              <w:t>仓库发货</w:t>
            </w:r>
            <w:r>
              <w:rPr>
                <w:rFonts w:hint="eastAsia" w:ascii="宋体" w:hAnsi="宋体" w:cs="宋体"/>
                <w:b/>
                <w:bCs/>
                <w:color w:val="000000"/>
                <w:kern w:val="0"/>
                <w:sz w:val="18"/>
                <w:szCs w:val="18"/>
              </w:rPr>
              <w:t>地距需求主机厂的距离，附地址地图或仓储合同；</w:t>
            </w:r>
          </w:p>
          <w:p w14:paraId="2764FB20">
            <w:pPr>
              <w:widowControl/>
              <w:wordWrap w:val="0"/>
              <w:spacing w:line="240" w:lineRule="exact"/>
              <w:jc w:val="left"/>
              <w:rPr>
                <w:rFonts w:hint="eastAsia" w:ascii="宋体" w:hAnsi="宋体" w:cs="宋体"/>
                <w:b/>
                <w:bCs/>
                <w:color w:val="000000"/>
                <w:kern w:val="0"/>
                <w:sz w:val="18"/>
                <w:szCs w:val="18"/>
              </w:rPr>
            </w:pPr>
            <w:r>
              <w:rPr>
                <w:rFonts w:hint="eastAsia" w:ascii="宋体" w:hAnsi="宋体" w:cs="宋体"/>
                <w:b/>
                <w:bCs/>
                <w:color w:val="000000"/>
                <w:kern w:val="0"/>
                <w:sz w:val="18"/>
                <w:szCs w:val="18"/>
              </w:rPr>
              <w:t>注明使用的常规物流运输方式</w:t>
            </w:r>
            <w:bookmarkStart w:id="19" w:name="OLE_LINK74"/>
            <w:r>
              <w:rPr>
                <w:rFonts w:hint="eastAsia" w:ascii="宋体" w:hAnsi="宋体" w:cs="宋体"/>
                <w:b/>
                <w:bCs/>
                <w:color w:val="0000FF"/>
                <w:kern w:val="0"/>
                <w:sz w:val="18"/>
                <w:szCs w:val="18"/>
              </w:rPr>
              <w:t>【如公路、铁路、水路、航空或JIT】</w:t>
            </w:r>
            <w:bookmarkEnd w:id="19"/>
            <w:r>
              <w:rPr>
                <w:rFonts w:hint="eastAsia" w:ascii="宋体" w:hAnsi="宋体" w:cs="宋体"/>
                <w:b/>
                <w:bCs/>
                <w:color w:val="0000FF"/>
                <w:kern w:val="0"/>
                <w:sz w:val="18"/>
                <w:szCs w:val="18"/>
              </w:rPr>
              <w:t>；</w:t>
            </w:r>
          </w:p>
        </w:tc>
        <w:tc>
          <w:tcPr>
            <w:tcW w:w="605" w:type="pct"/>
            <w:vMerge w:val="restart"/>
            <w:tcBorders>
              <w:top w:val="nil"/>
              <w:left w:val="single" w:color="auto" w:sz="4" w:space="0"/>
              <w:bottom w:val="single" w:color="auto" w:sz="4" w:space="0"/>
              <w:right w:val="single" w:color="auto" w:sz="4" w:space="0"/>
            </w:tcBorders>
            <w:vAlign w:val="center"/>
          </w:tcPr>
          <w:p w14:paraId="6802B810">
            <w:pPr>
              <w:widowControl/>
              <w:wordWrap w:val="0"/>
              <w:spacing w:line="240" w:lineRule="exact"/>
              <w:jc w:val="center"/>
              <w:rPr>
                <w:rFonts w:hint="eastAsia" w:ascii="宋体" w:hAnsi="宋体" w:cs="宋体"/>
                <w:color w:val="000000"/>
                <w:kern w:val="0"/>
                <w:sz w:val="18"/>
                <w:szCs w:val="18"/>
              </w:rPr>
            </w:pPr>
            <w:r>
              <w:rPr>
                <w:rFonts w:hint="eastAsia" w:ascii="宋体" w:hAnsi="宋体" w:cs="宋体"/>
                <w:b/>
                <w:bCs/>
                <w:color w:val="FF0000"/>
                <w:kern w:val="0"/>
                <w:sz w:val="18"/>
                <w:szCs w:val="18"/>
              </w:rPr>
              <w:t>由供应部门制定和补充评审内容/供应商资料提供说明/评分标准/评审方法（按项目及实际情况分档或者其他评分评审方式）</w:t>
            </w:r>
          </w:p>
        </w:tc>
      </w:tr>
      <w:tr w14:paraId="089C029B">
        <w:tblPrEx>
          <w:tblCellMar>
            <w:top w:w="0" w:type="dxa"/>
            <w:left w:w="108" w:type="dxa"/>
            <w:bottom w:w="0" w:type="dxa"/>
            <w:right w:w="108" w:type="dxa"/>
          </w:tblCellMar>
        </w:tblPrEx>
        <w:trPr>
          <w:trHeight w:val="20" w:hRule="atLeast"/>
        </w:trPr>
        <w:tc>
          <w:tcPr>
            <w:tcW w:w="161" w:type="pct"/>
            <w:vMerge w:val="continue"/>
            <w:tcBorders>
              <w:top w:val="nil"/>
              <w:left w:val="single" w:color="auto" w:sz="4" w:space="0"/>
              <w:bottom w:val="single" w:color="auto" w:sz="4" w:space="0"/>
              <w:right w:val="single" w:color="auto" w:sz="4" w:space="0"/>
            </w:tcBorders>
            <w:vAlign w:val="center"/>
          </w:tcPr>
          <w:p w14:paraId="2C7374BF">
            <w:pPr>
              <w:widowControl/>
              <w:wordWrap w:val="0"/>
              <w:spacing w:line="240" w:lineRule="exact"/>
              <w:jc w:val="left"/>
              <w:rPr>
                <w:rFonts w:hint="eastAsia" w:ascii="宋体" w:hAnsi="宋体" w:cs="宋体"/>
                <w:b/>
                <w:bCs/>
                <w:color w:val="000000"/>
                <w:kern w:val="0"/>
                <w:sz w:val="18"/>
                <w:szCs w:val="18"/>
              </w:rPr>
            </w:pPr>
          </w:p>
        </w:tc>
        <w:tc>
          <w:tcPr>
            <w:tcW w:w="412" w:type="pct"/>
            <w:vMerge w:val="continue"/>
            <w:tcBorders>
              <w:top w:val="nil"/>
              <w:left w:val="single" w:color="auto" w:sz="4" w:space="0"/>
              <w:bottom w:val="single" w:color="auto" w:sz="4" w:space="0"/>
              <w:right w:val="single" w:color="auto" w:sz="4" w:space="0"/>
            </w:tcBorders>
            <w:vAlign w:val="center"/>
          </w:tcPr>
          <w:p w14:paraId="64529D13">
            <w:pPr>
              <w:widowControl/>
              <w:wordWrap w:val="0"/>
              <w:spacing w:line="240" w:lineRule="exact"/>
              <w:jc w:val="left"/>
              <w:rPr>
                <w:rFonts w:hint="eastAsia" w:ascii="宋体" w:hAnsi="宋体" w:cs="宋体"/>
                <w:b/>
                <w:bCs/>
                <w:color w:val="000000"/>
                <w:kern w:val="0"/>
                <w:sz w:val="18"/>
                <w:szCs w:val="18"/>
              </w:rPr>
            </w:pPr>
          </w:p>
        </w:tc>
        <w:tc>
          <w:tcPr>
            <w:tcW w:w="820" w:type="pct"/>
            <w:tcBorders>
              <w:top w:val="nil"/>
              <w:left w:val="nil"/>
              <w:bottom w:val="single" w:color="auto" w:sz="4" w:space="0"/>
              <w:right w:val="single" w:color="auto" w:sz="4" w:space="0"/>
            </w:tcBorders>
            <w:vAlign w:val="center"/>
          </w:tcPr>
          <w:p w14:paraId="5060CC00">
            <w:pPr>
              <w:widowControl/>
              <w:wordWrap w:val="0"/>
              <w:spacing w:line="240" w:lineRule="exact"/>
              <w:jc w:val="center"/>
              <w:rPr>
                <w:rFonts w:hint="eastAsia" w:ascii="宋体" w:hAnsi="宋体" w:cs="宋体"/>
                <w:b/>
                <w:bCs/>
                <w:color w:val="000000"/>
                <w:kern w:val="0"/>
                <w:sz w:val="18"/>
                <w:szCs w:val="18"/>
              </w:rPr>
            </w:pPr>
            <w:r>
              <w:rPr>
                <w:rFonts w:hint="eastAsia" w:ascii="宋体" w:hAnsi="宋体" w:cs="宋体"/>
                <w:b/>
                <w:bCs/>
                <w:color w:val="000000"/>
                <w:kern w:val="0"/>
                <w:sz w:val="18"/>
                <w:szCs w:val="18"/>
              </w:rPr>
              <w:t>供货结算模式</w:t>
            </w:r>
          </w:p>
        </w:tc>
        <w:tc>
          <w:tcPr>
            <w:tcW w:w="325" w:type="pct"/>
            <w:tcBorders>
              <w:top w:val="nil"/>
              <w:left w:val="nil"/>
              <w:bottom w:val="single" w:color="auto" w:sz="4" w:space="0"/>
              <w:right w:val="single" w:color="auto" w:sz="4" w:space="0"/>
            </w:tcBorders>
            <w:vAlign w:val="center"/>
          </w:tcPr>
          <w:p w14:paraId="2C7EFDA2">
            <w:pPr>
              <w:widowControl/>
              <w:wordWrap w:val="0"/>
              <w:spacing w:line="240" w:lineRule="exact"/>
              <w:jc w:val="center"/>
              <w:rPr>
                <w:rFonts w:hint="eastAsia" w:ascii="宋体" w:hAnsi="宋体" w:cs="宋体"/>
                <w:b/>
                <w:bCs/>
                <w:color w:val="000000"/>
                <w:kern w:val="0"/>
                <w:sz w:val="18"/>
                <w:szCs w:val="18"/>
              </w:rPr>
            </w:pPr>
            <w:r>
              <w:rPr>
                <w:rFonts w:hint="eastAsia" w:ascii="宋体" w:hAnsi="宋体" w:cs="宋体"/>
                <w:b/>
                <w:bCs/>
                <w:color w:val="000000"/>
                <w:kern w:val="0"/>
                <w:sz w:val="18"/>
                <w:szCs w:val="18"/>
              </w:rPr>
              <w:t>★</w:t>
            </w:r>
          </w:p>
        </w:tc>
        <w:tc>
          <w:tcPr>
            <w:tcW w:w="2675" w:type="pct"/>
            <w:tcBorders>
              <w:top w:val="nil"/>
              <w:left w:val="nil"/>
              <w:bottom w:val="single" w:color="auto" w:sz="4" w:space="0"/>
              <w:right w:val="single" w:color="auto" w:sz="4" w:space="0"/>
            </w:tcBorders>
            <w:vAlign w:val="center"/>
          </w:tcPr>
          <w:p w14:paraId="6777C94F">
            <w:pPr>
              <w:widowControl/>
              <w:wordWrap w:val="0"/>
              <w:spacing w:line="240" w:lineRule="exact"/>
              <w:jc w:val="left"/>
              <w:rPr>
                <w:rFonts w:hint="eastAsia" w:ascii="宋体" w:hAnsi="宋体" w:cs="宋体"/>
                <w:b/>
                <w:bCs/>
                <w:color w:val="000000"/>
                <w:kern w:val="0"/>
                <w:sz w:val="18"/>
                <w:szCs w:val="18"/>
              </w:rPr>
            </w:pPr>
            <w:r>
              <w:rPr>
                <w:rFonts w:hint="eastAsia" w:ascii="宋体" w:hAnsi="宋体" w:cs="宋体"/>
                <w:b/>
                <w:bCs/>
                <w:color w:val="000000"/>
                <w:kern w:val="0"/>
                <w:sz w:val="18"/>
                <w:szCs w:val="18"/>
              </w:rPr>
              <w:t>1、</w:t>
            </w:r>
            <w:bookmarkStart w:id="20" w:name="OLE_LINK65"/>
            <w:r>
              <w:rPr>
                <w:rFonts w:hint="eastAsia" w:ascii="宋体" w:hAnsi="宋体" w:cs="宋体"/>
                <w:b/>
                <w:bCs/>
                <w:color w:val="000000"/>
                <w:kern w:val="0"/>
                <w:sz w:val="18"/>
                <w:szCs w:val="18"/>
              </w:rPr>
              <w:t>提供</w:t>
            </w:r>
            <w:r>
              <w:rPr>
                <w:rFonts w:hint="eastAsia" w:ascii="宋体" w:hAnsi="宋体" w:cs="宋体"/>
                <w:b/>
                <w:bCs/>
                <w:color w:val="0000FF"/>
                <w:kern w:val="0"/>
                <w:sz w:val="18"/>
                <w:szCs w:val="18"/>
              </w:rPr>
              <w:t>直接生产模式供应或代理/经销供应</w:t>
            </w:r>
            <w:r>
              <w:rPr>
                <w:rFonts w:hint="eastAsia" w:ascii="宋体" w:hAnsi="宋体" w:cs="宋体"/>
                <w:b/>
                <w:bCs/>
                <w:color w:val="000000"/>
                <w:kern w:val="0"/>
                <w:sz w:val="18"/>
                <w:szCs w:val="18"/>
              </w:rPr>
              <w:t>模式。</w:t>
            </w:r>
            <w:bookmarkStart w:id="21" w:name="OLE_LINK75"/>
            <w:r>
              <w:rPr>
                <w:rFonts w:hint="eastAsia" w:ascii="宋体" w:hAnsi="宋体" w:cs="宋体"/>
                <w:b/>
                <w:bCs/>
                <w:color w:val="0000FF"/>
                <w:kern w:val="0"/>
                <w:sz w:val="18"/>
                <w:szCs w:val="18"/>
              </w:rPr>
              <w:t>（非直接生产模式请提供相应的授权代理/经销等证明；</w:t>
            </w:r>
            <w:r>
              <w:rPr>
                <w:rFonts w:ascii="宋体" w:hAnsi="宋体" w:cs="宋体"/>
                <w:b/>
                <w:bCs/>
                <w:color w:val="0000FF"/>
                <w:kern w:val="0"/>
                <w:sz w:val="18"/>
                <w:szCs w:val="18"/>
              </w:rPr>
              <w:t>直接生产模式需要提供其经营范围涵盖招标标的相关类目的制造或生产等证明或提供与投标主体一致的质量体系证书认证项目范畴包含招标标的相关类目</w:t>
            </w:r>
            <w:bookmarkEnd w:id="20"/>
            <w:r>
              <w:rPr>
                <w:rFonts w:hint="eastAsia" w:ascii="宋体" w:hAnsi="宋体" w:cs="宋体"/>
                <w:b/>
                <w:bCs/>
                <w:color w:val="0000FF"/>
                <w:kern w:val="0"/>
                <w:sz w:val="18"/>
                <w:szCs w:val="18"/>
              </w:rPr>
              <w:t>）</w:t>
            </w:r>
            <w:bookmarkEnd w:id="21"/>
          </w:p>
          <w:p w14:paraId="6C07524F">
            <w:pPr>
              <w:widowControl/>
              <w:wordWrap w:val="0"/>
              <w:spacing w:line="240" w:lineRule="exact"/>
              <w:jc w:val="left"/>
              <w:rPr>
                <w:rFonts w:hint="eastAsia" w:ascii="宋体" w:hAnsi="宋体" w:cs="宋体"/>
                <w:b/>
                <w:bCs/>
                <w:color w:val="000000"/>
                <w:kern w:val="0"/>
                <w:sz w:val="18"/>
                <w:szCs w:val="18"/>
              </w:rPr>
            </w:pPr>
            <w:r>
              <w:rPr>
                <w:rFonts w:hint="eastAsia" w:ascii="宋体" w:hAnsi="宋体" w:cs="宋体"/>
                <w:b/>
                <w:bCs/>
                <w:color w:val="000000"/>
                <w:kern w:val="0"/>
                <w:sz w:val="18"/>
                <w:szCs w:val="18"/>
              </w:rPr>
              <w:t>2、提供能满足的供货结算模式</w:t>
            </w:r>
            <w:r>
              <w:rPr>
                <w:rFonts w:hint="eastAsia" w:ascii="宋体" w:hAnsi="宋体" w:cs="宋体"/>
                <w:b/>
                <w:bCs/>
                <w:color w:val="0000FF"/>
                <w:kern w:val="0"/>
                <w:sz w:val="18"/>
                <w:szCs w:val="18"/>
              </w:rPr>
              <w:t>【直接入库KWO/寄售VMI/直接上线JIT模式】</w:t>
            </w:r>
            <w:r>
              <w:rPr>
                <w:rFonts w:hint="eastAsia" w:ascii="宋体" w:hAnsi="宋体" w:cs="宋体"/>
                <w:b/>
                <w:bCs/>
                <w:color w:val="000000"/>
                <w:kern w:val="0"/>
                <w:sz w:val="18"/>
                <w:szCs w:val="18"/>
              </w:rPr>
              <w:t>；</w:t>
            </w:r>
          </w:p>
        </w:tc>
        <w:tc>
          <w:tcPr>
            <w:tcW w:w="605" w:type="pct"/>
            <w:vMerge w:val="continue"/>
            <w:tcBorders>
              <w:top w:val="nil"/>
              <w:left w:val="single" w:color="auto" w:sz="4" w:space="0"/>
              <w:bottom w:val="single" w:color="auto" w:sz="4" w:space="0"/>
              <w:right w:val="single" w:color="auto" w:sz="4" w:space="0"/>
            </w:tcBorders>
            <w:vAlign w:val="center"/>
          </w:tcPr>
          <w:p w14:paraId="6FED95E2">
            <w:pPr>
              <w:widowControl/>
              <w:wordWrap w:val="0"/>
              <w:spacing w:line="240" w:lineRule="exact"/>
              <w:jc w:val="left"/>
              <w:rPr>
                <w:rFonts w:hint="eastAsia" w:ascii="宋体" w:hAnsi="宋体" w:cs="宋体"/>
                <w:color w:val="000000"/>
                <w:kern w:val="0"/>
                <w:sz w:val="18"/>
                <w:szCs w:val="18"/>
              </w:rPr>
            </w:pPr>
          </w:p>
        </w:tc>
      </w:tr>
      <w:tr w14:paraId="394E8972">
        <w:tblPrEx>
          <w:tblCellMar>
            <w:top w:w="0" w:type="dxa"/>
            <w:left w:w="108" w:type="dxa"/>
            <w:bottom w:w="0" w:type="dxa"/>
            <w:right w:w="108" w:type="dxa"/>
          </w:tblCellMar>
        </w:tblPrEx>
        <w:trPr>
          <w:trHeight w:val="20" w:hRule="atLeast"/>
        </w:trPr>
        <w:tc>
          <w:tcPr>
            <w:tcW w:w="161" w:type="pct"/>
            <w:vMerge w:val="continue"/>
            <w:tcBorders>
              <w:top w:val="nil"/>
              <w:left w:val="single" w:color="auto" w:sz="4" w:space="0"/>
              <w:bottom w:val="single" w:color="auto" w:sz="4" w:space="0"/>
              <w:right w:val="single" w:color="auto" w:sz="4" w:space="0"/>
            </w:tcBorders>
            <w:vAlign w:val="center"/>
          </w:tcPr>
          <w:p w14:paraId="641C9F64">
            <w:pPr>
              <w:widowControl/>
              <w:wordWrap w:val="0"/>
              <w:spacing w:line="240" w:lineRule="exact"/>
              <w:jc w:val="left"/>
              <w:rPr>
                <w:rFonts w:hint="eastAsia" w:ascii="宋体" w:hAnsi="宋体" w:cs="宋体"/>
                <w:b/>
                <w:bCs/>
                <w:color w:val="000000"/>
                <w:kern w:val="0"/>
                <w:sz w:val="18"/>
                <w:szCs w:val="18"/>
              </w:rPr>
            </w:pPr>
          </w:p>
        </w:tc>
        <w:tc>
          <w:tcPr>
            <w:tcW w:w="412" w:type="pct"/>
            <w:vMerge w:val="continue"/>
            <w:tcBorders>
              <w:top w:val="nil"/>
              <w:left w:val="single" w:color="auto" w:sz="4" w:space="0"/>
              <w:bottom w:val="single" w:color="auto" w:sz="4" w:space="0"/>
              <w:right w:val="single" w:color="auto" w:sz="4" w:space="0"/>
            </w:tcBorders>
            <w:vAlign w:val="center"/>
          </w:tcPr>
          <w:p w14:paraId="391BAA2D">
            <w:pPr>
              <w:widowControl/>
              <w:wordWrap w:val="0"/>
              <w:spacing w:line="240" w:lineRule="exact"/>
              <w:jc w:val="left"/>
              <w:rPr>
                <w:rFonts w:hint="eastAsia" w:ascii="宋体" w:hAnsi="宋体" w:cs="宋体"/>
                <w:b/>
                <w:bCs/>
                <w:color w:val="000000"/>
                <w:kern w:val="0"/>
                <w:sz w:val="18"/>
                <w:szCs w:val="18"/>
              </w:rPr>
            </w:pPr>
          </w:p>
        </w:tc>
        <w:tc>
          <w:tcPr>
            <w:tcW w:w="820" w:type="pct"/>
            <w:tcBorders>
              <w:top w:val="nil"/>
              <w:left w:val="nil"/>
              <w:bottom w:val="single" w:color="auto" w:sz="4" w:space="0"/>
              <w:right w:val="single" w:color="auto" w:sz="4" w:space="0"/>
            </w:tcBorders>
            <w:vAlign w:val="center"/>
          </w:tcPr>
          <w:p w14:paraId="755C5AEF">
            <w:pPr>
              <w:widowControl/>
              <w:wordWrap w:val="0"/>
              <w:spacing w:line="240" w:lineRule="exact"/>
              <w:jc w:val="center"/>
              <w:rPr>
                <w:rFonts w:hint="eastAsia" w:ascii="宋体" w:hAnsi="宋体" w:cs="宋体"/>
                <w:b/>
                <w:bCs/>
                <w:color w:val="000000"/>
                <w:kern w:val="0"/>
                <w:sz w:val="18"/>
                <w:szCs w:val="18"/>
              </w:rPr>
            </w:pPr>
            <w:r>
              <w:rPr>
                <w:rFonts w:hint="eastAsia" w:ascii="宋体" w:hAnsi="宋体" w:cs="宋体"/>
                <w:b/>
                <w:bCs/>
                <w:color w:val="000000"/>
                <w:kern w:val="0"/>
                <w:sz w:val="18"/>
                <w:szCs w:val="18"/>
              </w:rPr>
              <w:t>供应交货期</w:t>
            </w:r>
          </w:p>
        </w:tc>
        <w:tc>
          <w:tcPr>
            <w:tcW w:w="325" w:type="pct"/>
            <w:tcBorders>
              <w:top w:val="nil"/>
              <w:left w:val="nil"/>
              <w:bottom w:val="single" w:color="auto" w:sz="4" w:space="0"/>
              <w:right w:val="single" w:color="auto" w:sz="4" w:space="0"/>
            </w:tcBorders>
            <w:vAlign w:val="center"/>
          </w:tcPr>
          <w:p w14:paraId="731973D0">
            <w:pPr>
              <w:widowControl/>
              <w:wordWrap w:val="0"/>
              <w:spacing w:line="240" w:lineRule="exact"/>
              <w:jc w:val="center"/>
              <w:rPr>
                <w:rFonts w:hint="eastAsia" w:ascii="宋体" w:hAnsi="宋体" w:cs="宋体"/>
                <w:b/>
                <w:bCs/>
                <w:color w:val="000000"/>
                <w:kern w:val="0"/>
                <w:sz w:val="18"/>
                <w:szCs w:val="18"/>
              </w:rPr>
            </w:pPr>
            <w:r>
              <w:rPr>
                <w:rFonts w:hint="eastAsia" w:ascii="宋体" w:hAnsi="宋体" w:cs="宋体"/>
                <w:b/>
                <w:bCs/>
                <w:color w:val="000000"/>
                <w:kern w:val="0"/>
                <w:sz w:val="18"/>
                <w:szCs w:val="18"/>
              </w:rPr>
              <w:t>★</w:t>
            </w:r>
          </w:p>
        </w:tc>
        <w:tc>
          <w:tcPr>
            <w:tcW w:w="2675" w:type="pct"/>
            <w:tcBorders>
              <w:top w:val="nil"/>
              <w:left w:val="nil"/>
              <w:bottom w:val="single" w:color="auto" w:sz="4" w:space="0"/>
              <w:right w:val="single" w:color="auto" w:sz="4" w:space="0"/>
            </w:tcBorders>
            <w:vAlign w:val="center"/>
          </w:tcPr>
          <w:p w14:paraId="327CEF78">
            <w:pPr>
              <w:widowControl/>
              <w:wordWrap w:val="0"/>
              <w:spacing w:line="240" w:lineRule="exact"/>
              <w:jc w:val="left"/>
              <w:rPr>
                <w:rFonts w:hint="eastAsia" w:ascii="宋体" w:hAnsi="宋体" w:cs="宋体"/>
                <w:b/>
                <w:bCs/>
                <w:color w:val="000000"/>
                <w:kern w:val="0"/>
                <w:sz w:val="18"/>
                <w:szCs w:val="18"/>
              </w:rPr>
            </w:pPr>
            <w:r>
              <w:rPr>
                <w:rFonts w:hint="eastAsia" w:ascii="宋体" w:hAnsi="宋体" w:cs="宋体"/>
                <w:b/>
                <w:bCs/>
                <w:color w:val="000000"/>
                <w:kern w:val="0"/>
                <w:sz w:val="18"/>
                <w:szCs w:val="18"/>
              </w:rPr>
              <w:t>批量供货时自采购订单下达之日起</w:t>
            </w:r>
            <w:r>
              <w:rPr>
                <w:rFonts w:ascii="宋体" w:hAnsi="宋体" w:cs="宋体"/>
                <w:b/>
                <w:bCs/>
                <w:color w:val="FF0000"/>
                <w:kern w:val="0"/>
                <w:sz w:val="18"/>
                <w:szCs w:val="18"/>
              </w:rPr>
              <w:t>X</w:t>
            </w:r>
            <w:r>
              <w:rPr>
                <w:rFonts w:hint="eastAsia" w:ascii="宋体" w:hAnsi="宋体" w:cs="宋体"/>
                <w:b/>
                <w:bCs/>
                <w:color w:val="000000"/>
                <w:kern w:val="0"/>
                <w:sz w:val="18"/>
                <w:szCs w:val="18"/>
              </w:rPr>
              <w:t>日到货需求主机厂内（包含运输及休息日）的承诺函</w:t>
            </w:r>
            <w:r>
              <w:rPr>
                <w:rFonts w:hint="eastAsia" w:ascii="宋体" w:hAnsi="宋体" w:cs="宋体"/>
                <w:b/>
                <w:bCs/>
                <w:color w:val="0000FF"/>
                <w:kern w:val="0"/>
                <w:sz w:val="18"/>
                <w:szCs w:val="18"/>
              </w:rPr>
              <w:t>【如7日/10日/15日/30日</w:t>
            </w:r>
            <w:r>
              <w:rPr>
                <w:rFonts w:ascii="宋体" w:hAnsi="宋体" w:cs="宋体"/>
                <w:b/>
                <w:bCs/>
                <w:color w:val="0000FF"/>
                <w:kern w:val="0"/>
                <w:sz w:val="18"/>
                <w:szCs w:val="18"/>
              </w:rPr>
              <w:t>……</w:t>
            </w:r>
            <w:r>
              <w:rPr>
                <w:rFonts w:hint="eastAsia" w:ascii="宋体" w:hAnsi="宋体" w:cs="宋体"/>
                <w:b/>
                <w:bCs/>
                <w:color w:val="0000FF"/>
                <w:kern w:val="0"/>
                <w:sz w:val="18"/>
                <w:szCs w:val="18"/>
              </w:rPr>
              <w:t>】</w:t>
            </w:r>
            <w:r>
              <w:rPr>
                <w:rFonts w:hint="eastAsia" w:ascii="宋体" w:hAnsi="宋体" w:cs="宋体"/>
                <w:b/>
                <w:bCs/>
                <w:color w:val="000000"/>
                <w:kern w:val="0"/>
                <w:sz w:val="18"/>
                <w:szCs w:val="18"/>
              </w:rPr>
              <w:t>；</w:t>
            </w:r>
          </w:p>
        </w:tc>
        <w:tc>
          <w:tcPr>
            <w:tcW w:w="605" w:type="pct"/>
            <w:vMerge w:val="continue"/>
            <w:tcBorders>
              <w:top w:val="nil"/>
              <w:left w:val="single" w:color="auto" w:sz="4" w:space="0"/>
              <w:bottom w:val="single" w:color="auto" w:sz="4" w:space="0"/>
              <w:right w:val="single" w:color="auto" w:sz="4" w:space="0"/>
            </w:tcBorders>
            <w:vAlign w:val="center"/>
          </w:tcPr>
          <w:p w14:paraId="7DFBA0A3">
            <w:pPr>
              <w:widowControl/>
              <w:wordWrap w:val="0"/>
              <w:spacing w:line="240" w:lineRule="exact"/>
              <w:jc w:val="left"/>
              <w:rPr>
                <w:rFonts w:hint="eastAsia" w:ascii="宋体" w:hAnsi="宋体" w:cs="宋体"/>
                <w:color w:val="000000"/>
                <w:kern w:val="0"/>
                <w:sz w:val="18"/>
                <w:szCs w:val="18"/>
              </w:rPr>
            </w:pPr>
          </w:p>
        </w:tc>
      </w:tr>
      <w:tr w14:paraId="0F707FB9">
        <w:tblPrEx>
          <w:tblCellMar>
            <w:top w:w="0" w:type="dxa"/>
            <w:left w:w="108" w:type="dxa"/>
            <w:bottom w:w="0" w:type="dxa"/>
            <w:right w:w="108" w:type="dxa"/>
          </w:tblCellMar>
        </w:tblPrEx>
        <w:trPr>
          <w:trHeight w:val="20" w:hRule="atLeast"/>
        </w:trPr>
        <w:tc>
          <w:tcPr>
            <w:tcW w:w="161" w:type="pct"/>
            <w:vMerge w:val="continue"/>
            <w:tcBorders>
              <w:top w:val="nil"/>
              <w:left w:val="single" w:color="auto" w:sz="4" w:space="0"/>
              <w:bottom w:val="single" w:color="auto" w:sz="4" w:space="0"/>
              <w:right w:val="single" w:color="auto" w:sz="4" w:space="0"/>
            </w:tcBorders>
            <w:vAlign w:val="center"/>
          </w:tcPr>
          <w:p w14:paraId="14FBBA8D">
            <w:pPr>
              <w:widowControl/>
              <w:wordWrap w:val="0"/>
              <w:spacing w:line="240" w:lineRule="exact"/>
              <w:jc w:val="left"/>
              <w:rPr>
                <w:rFonts w:hint="eastAsia" w:ascii="宋体" w:hAnsi="宋体" w:cs="宋体"/>
                <w:b/>
                <w:bCs/>
                <w:color w:val="000000"/>
                <w:kern w:val="0"/>
                <w:sz w:val="18"/>
                <w:szCs w:val="18"/>
              </w:rPr>
            </w:pPr>
          </w:p>
        </w:tc>
        <w:tc>
          <w:tcPr>
            <w:tcW w:w="412" w:type="pct"/>
            <w:vMerge w:val="continue"/>
            <w:tcBorders>
              <w:top w:val="nil"/>
              <w:left w:val="single" w:color="auto" w:sz="4" w:space="0"/>
              <w:bottom w:val="single" w:color="auto" w:sz="4" w:space="0"/>
              <w:right w:val="single" w:color="auto" w:sz="4" w:space="0"/>
            </w:tcBorders>
            <w:vAlign w:val="center"/>
          </w:tcPr>
          <w:p w14:paraId="1830686D">
            <w:pPr>
              <w:widowControl/>
              <w:wordWrap w:val="0"/>
              <w:spacing w:line="240" w:lineRule="exact"/>
              <w:jc w:val="left"/>
              <w:rPr>
                <w:rFonts w:hint="eastAsia" w:ascii="宋体" w:hAnsi="宋体" w:cs="宋体"/>
                <w:b/>
                <w:bCs/>
                <w:color w:val="000000"/>
                <w:kern w:val="0"/>
                <w:sz w:val="18"/>
                <w:szCs w:val="18"/>
              </w:rPr>
            </w:pPr>
          </w:p>
        </w:tc>
        <w:tc>
          <w:tcPr>
            <w:tcW w:w="820" w:type="pct"/>
            <w:tcBorders>
              <w:top w:val="nil"/>
              <w:left w:val="nil"/>
              <w:bottom w:val="single" w:color="auto" w:sz="4" w:space="0"/>
              <w:right w:val="single" w:color="auto" w:sz="4" w:space="0"/>
            </w:tcBorders>
            <w:vAlign w:val="center"/>
          </w:tcPr>
          <w:p w14:paraId="1422CFBA">
            <w:pPr>
              <w:widowControl/>
              <w:wordWrap w:val="0"/>
              <w:spacing w:line="240" w:lineRule="exact"/>
              <w:jc w:val="center"/>
              <w:rPr>
                <w:rFonts w:hint="eastAsia" w:ascii="宋体" w:hAnsi="宋体" w:cs="宋体"/>
                <w:b/>
                <w:bCs/>
                <w:color w:val="000000"/>
                <w:kern w:val="0"/>
                <w:sz w:val="18"/>
                <w:szCs w:val="18"/>
              </w:rPr>
            </w:pPr>
            <w:r>
              <w:rPr>
                <w:rFonts w:hint="eastAsia" w:ascii="宋体" w:hAnsi="宋体" w:cs="宋体"/>
                <w:b/>
                <w:bCs/>
                <w:color w:val="000000"/>
                <w:kern w:val="0"/>
                <w:sz w:val="18"/>
                <w:szCs w:val="18"/>
              </w:rPr>
              <w:t>供应数量交付率</w:t>
            </w:r>
          </w:p>
        </w:tc>
        <w:tc>
          <w:tcPr>
            <w:tcW w:w="325" w:type="pct"/>
            <w:tcBorders>
              <w:top w:val="nil"/>
              <w:left w:val="nil"/>
              <w:bottom w:val="single" w:color="auto" w:sz="4" w:space="0"/>
              <w:right w:val="single" w:color="auto" w:sz="4" w:space="0"/>
            </w:tcBorders>
            <w:vAlign w:val="center"/>
          </w:tcPr>
          <w:p w14:paraId="1687D9E8">
            <w:pPr>
              <w:widowControl/>
              <w:wordWrap w:val="0"/>
              <w:spacing w:line="240" w:lineRule="exact"/>
              <w:jc w:val="center"/>
              <w:rPr>
                <w:rFonts w:hint="eastAsia" w:ascii="宋体" w:hAnsi="宋体" w:cs="宋体"/>
                <w:b/>
                <w:bCs/>
                <w:color w:val="000000"/>
                <w:kern w:val="0"/>
                <w:sz w:val="18"/>
                <w:szCs w:val="18"/>
              </w:rPr>
            </w:pPr>
            <w:r>
              <w:rPr>
                <w:rFonts w:hint="eastAsia" w:ascii="宋体" w:hAnsi="宋体" w:cs="宋体"/>
                <w:b/>
                <w:bCs/>
                <w:color w:val="000000"/>
                <w:kern w:val="0"/>
                <w:sz w:val="18"/>
                <w:szCs w:val="18"/>
              </w:rPr>
              <w:t>★</w:t>
            </w:r>
          </w:p>
        </w:tc>
        <w:tc>
          <w:tcPr>
            <w:tcW w:w="2675" w:type="pct"/>
            <w:tcBorders>
              <w:top w:val="nil"/>
              <w:left w:val="nil"/>
              <w:bottom w:val="single" w:color="auto" w:sz="4" w:space="0"/>
              <w:right w:val="single" w:color="auto" w:sz="4" w:space="0"/>
            </w:tcBorders>
            <w:vAlign w:val="center"/>
          </w:tcPr>
          <w:p w14:paraId="74BF49C2">
            <w:pPr>
              <w:widowControl/>
              <w:wordWrap w:val="0"/>
              <w:spacing w:line="240" w:lineRule="exact"/>
              <w:jc w:val="left"/>
              <w:rPr>
                <w:rFonts w:hint="eastAsia" w:ascii="宋体" w:hAnsi="宋体" w:cs="宋体"/>
                <w:b/>
                <w:bCs/>
                <w:color w:val="000000"/>
                <w:kern w:val="0"/>
                <w:sz w:val="18"/>
                <w:szCs w:val="18"/>
              </w:rPr>
            </w:pPr>
            <w:r>
              <w:rPr>
                <w:rFonts w:hint="eastAsia" w:ascii="宋体" w:hAnsi="宋体" w:cs="宋体"/>
                <w:b/>
                <w:bCs/>
                <w:color w:val="000000"/>
                <w:kern w:val="0"/>
                <w:sz w:val="18"/>
                <w:szCs w:val="18"/>
              </w:rPr>
              <w:t>批量供货时按期供应需求到货数量与采购数量之比</w:t>
            </w:r>
            <w:r>
              <w:rPr>
                <w:rFonts w:hint="eastAsia" w:ascii="宋体" w:hAnsi="宋体" w:cs="宋体"/>
                <w:b/>
                <w:bCs/>
                <w:color w:val="0000FF"/>
                <w:kern w:val="0"/>
                <w:sz w:val="18"/>
                <w:szCs w:val="18"/>
              </w:rPr>
              <w:t>【如100%/95%以上/90%以上/90%以下</w:t>
            </w:r>
            <w:r>
              <w:rPr>
                <w:rFonts w:ascii="宋体" w:hAnsi="宋体" w:cs="宋体"/>
                <w:b/>
                <w:bCs/>
                <w:color w:val="0000FF"/>
                <w:kern w:val="0"/>
                <w:sz w:val="18"/>
                <w:szCs w:val="18"/>
              </w:rPr>
              <w:t>……</w:t>
            </w:r>
            <w:r>
              <w:rPr>
                <w:rFonts w:hint="eastAsia" w:ascii="宋体" w:hAnsi="宋体" w:cs="宋体"/>
                <w:b/>
                <w:bCs/>
                <w:color w:val="0000FF"/>
                <w:kern w:val="0"/>
                <w:sz w:val="18"/>
                <w:szCs w:val="18"/>
              </w:rPr>
              <w:t>】</w:t>
            </w:r>
            <w:r>
              <w:rPr>
                <w:rFonts w:hint="eastAsia" w:ascii="宋体" w:hAnsi="宋体" w:cs="宋体"/>
                <w:b/>
                <w:bCs/>
                <w:color w:val="000000"/>
                <w:kern w:val="0"/>
                <w:sz w:val="18"/>
                <w:szCs w:val="18"/>
              </w:rPr>
              <w:t>的承诺函；</w:t>
            </w:r>
          </w:p>
        </w:tc>
        <w:tc>
          <w:tcPr>
            <w:tcW w:w="605" w:type="pct"/>
            <w:vMerge w:val="continue"/>
            <w:tcBorders>
              <w:top w:val="nil"/>
              <w:left w:val="single" w:color="auto" w:sz="4" w:space="0"/>
              <w:bottom w:val="single" w:color="auto" w:sz="4" w:space="0"/>
              <w:right w:val="single" w:color="auto" w:sz="4" w:space="0"/>
            </w:tcBorders>
            <w:vAlign w:val="center"/>
          </w:tcPr>
          <w:p w14:paraId="697D8552">
            <w:pPr>
              <w:widowControl/>
              <w:wordWrap w:val="0"/>
              <w:spacing w:line="240" w:lineRule="exact"/>
              <w:jc w:val="left"/>
              <w:rPr>
                <w:rFonts w:hint="eastAsia" w:ascii="宋体" w:hAnsi="宋体" w:cs="宋体"/>
                <w:color w:val="000000"/>
                <w:kern w:val="0"/>
                <w:sz w:val="18"/>
                <w:szCs w:val="18"/>
              </w:rPr>
            </w:pPr>
          </w:p>
        </w:tc>
      </w:tr>
      <w:tr w14:paraId="50B7663B">
        <w:tblPrEx>
          <w:tblCellMar>
            <w:top w:w="0" w:type="dxa"/>
            <w:left w:w="108" w:type="dxa"/>
            <w:bottom w:w="0" w:type="dxa"/>
            <w:right w:w="108" w:type="dxa"/>
          </w:tblCellMar>
        </w:tblPrEx>
        <w:trPr>
          <w:trHeight w:val="20" w:hRule="atLeast"/>
        </w:trPr>
        <w:tc>
          <w:tcPr>
            <w:tcW w:w="161" w:type="pct"/>
            <w:vMerge w:val="continue"/>
            <w:tcBorders>
              <w:top w:val="nil"/>
              <w:left w:val="single" w:color="auto" w:sz="4" w:space="0"/>
              <w:bottom w:val="single" w:color="auto" w:sz="4" w:space="0"/>
              <w:right w:val="single" w:color="auto" w:sz="4" w:space="0"/>
            </w:tcBorders>
            <w:vAlign w:val="center"/>
          </w:tcPr>
          <w:p w14:paraId="69E08305">
            <w:pPr>
              <w:widowControl/>
              <w:wordWrap w:val="0"/>
              <w:spacing w:line="240" w:lineRule="exact"/>
              <w:jc w:val="left"/>
              <w:rPr>
                <w:rFonts w:hint="eastAsia" w:ascii="宋体" w:hAnsi="宋体" w:cs="宋体"/>
                <w:b/>
                <w:bCs/>
                <w:color w:val="000000"/>
                <w:kern w:val="0"/>
                <w:sz w:val="18"/>
                <w:szCs w:val="18"/>
              </w:rPr>
            </w:pPr>
          </w:p>
        </w:tc>
        <w:tc>
          <w:tcPr>
            <w:tcW w:w="412" w:type="pct"/>
            <w:vMerge w:val="continue"/>
            <w:tcBorders>
              <w:top w:val="nil"/>
              <w:left w:val="single" w:color="auto" w:sz="4" w:space="0"/>
              <w:bottom w:val="single" w:color="auto" w:sz="4" w:space="0"/>
              <w:right w:val="single" w:color="auto" w:sz="4" w:space="0"/>
            </w:tcBorders>
            <w:vAlign w:val="center"/>
          </w:tcPr>
          <w:p w14:paraId="650F341A">
            <w:pPr>
              <w:widowControl/>
              <w:wordWrap w:val="0"/>
              <w:spacing w:line="240" w:lineRule="exact"/>
              <w:jc w:val="left"/>
              <w:rPr>
                <w:rFonts w:hint="eastAsia" w:ascii="宋体" w:hAnsi="宋体" w:cs="宋体"/>
                <w:b/>
                <w:bCs/>
                <w:color w:val="000000"/>
                <w:kern w:val="0"/>
                <w:sz w:val="18"/>
                <w:szCs w:val="18"/>
              </w:rPr>
            </w:pPr>
          </w:p>
        </w:tc>
        <w:tc>
          <w:tcPr>
            <w:tcW w:w="820" w:type="pct"/>
            <w:tcBorders>
              <w:top w:val="nil"/>
              <w:left w:val="nil"/>
              <w:bottom w:val="single" w:color="auto" w:sz="4" w:space="0"/>
              <w:right w:val="single" w:color="auto" w:sz="4" w:space="0"/>
            </w:tcBorders>
            <w:vAlign w:val="center"/>
          </w:tcPr>
          <w:p w14:paraId="134EA8C2">
            <w:pPr>
              <w:widowControl/>
              <w:wordWrap w:val="0"/>
              <w:spacing w:line="240" w:lineRule="exact"/>
              <w:jc w:val="center"/>
              <w:rPr>
                <w:rFonts w:hint="eastAsia" w:ascii="宋体" w:hAnsi="宋体" w:cs="宋体"/>
                <w:b/>
                <w:bCs/>
                <w:color w:val="000000"/>
                <w:kern w:val="0"/>
                <w:sz w:val="18"/>
                <w:szCs w:val="18"/>
              </w:rPr>
            </w:pPr>
            <w:r>
              <w:rPr>
                <w:rFonts w:hint="eastAsia" w:ascii="宋体" w:hAnsi="宋体" w:cs="宋体"/>
                <w:b/>
                <w:bCs/>
                <w:color w:val="000000"/>
                <w:kern w:val="0"/>
                <w:sz w:val="18"/>
                <w:szCs w:val="18"/>
              </w:rPr>
              <w:t>产能与持续供货能力</w:t>
            </w:r>
          </w:p>
        </w:tc>
        <w:tc>
          <w:tcPr>
            <w:tcW w:w="325" w:type="pct"/>
            <w:tcBorders>
              <w:top w:val="nil"/>
              <w:left w:val="nil"/>
              <w:bottom w:val="single" w:color="auto" w:sz="4" w:space="0"/>
              <w:right w:val="single" w:color="auto" w:sz="4" w:space="0"/>
            </w:tcBorders>
            <w:vAlign w:val="center"/>
          </w:tcPr>
          <w:p w14:paraId="4BACCFC0">
            <w:pPr>
              <w:widowControl/>
              <w:wordWrap w:val="0"/>
              <w:spacing w:line="240" w:lineRule="exact"/>
              <w:jc w:val="center"/>
              <w:rPr>
                <w:rFonts w:hint="eastAsia" w:ascii="宋体" w:hAnsi="宋体" w:cs="宋体"/>
                <w:b/>
                <w:bCs/>
                <w:color w:val="000000"/>
                <w:kern w:val="0"/>
                <w:sz w:val="18"/>
                <w:szCs w:val="18"/>
              </w:rPr>
            </w:pPr>
            <w:r>
              <w:rPr>
                <w:rFonts w:hint="eastAsia" w:ascii="宋体" w:hAnsi="宋体" w:cs="宋体"/>
                <w:b/>
                <w:bCs/>
                <w:color w:val="000000"/>
                <w:kern w:val="0"/>
                <w:sz w:val="18"/>
                <w:szCs w:val="18"/>
              </w:rPr>
              <w:t>★</w:t>
            </w:r>
          </w:p>
        </w:tc>
        <w:tc>
          <w:tcPr>
            <w:tcW w:w="2675" w:type="pct"/>
            <w:tcBorders>
              <w:top w:val="nil"/>
              <w:left w:val="nil"/>
              <w:bottom w:val="single" w:color="auto" w:sz="4" w:space="0"/>
              <w:right w:val="single" w:color="auto" w:sz="4" w:space="0"/>
            </w:tcBorders>
            <w:vAlign w:val="center"/>
          </w:tcPr>
          <w:p w14:paraId="3FAAD836">
            <w:pPr>
              <w:widowControl/>
              <w:wordWrap w:val="0"/>
              <w:spacing w:line="240" w:lineRule="exact"/>
              <w:jc w:val="left"/>
              <w:rPr>
                <w:rFonts w:hint="eastAsia" w:ascii="宋体" w:hAnsi="宋体" w:cs="宋体"/>
                <w:b/>
                <w:bCs/>
                <w:color w:val="000000"/>
                <w:kern w:val="0"/>
                <w:sz w:val="18"/>
                <w:szCs w:val="18"/>
              </w:rPr>
            </w:pPr>
            <w:r>
              <w:rPr>
                <w:rFonts w:hint="eastAsia" w:ascii="宋体" w:hAnsi="宋体" w:cs="宋体"/>
                <w:b/>
                <w:bCs/>
                <w:color w:val="000000"/>
                <w:kern w:val="0"/>
                <w:sz w:val="18"/>
                <w:szCs w:val="18"/>
              </w:rPr>
              <w:t>根据预期采购量提供总成件及主要配套子件、散件的具体实际产能响应情况；</w:t>
            </w:r>
            <w:r>
              <w:rPr>
                <w:rFonts w:hint="eastAsia" w:ascii="宋体" w:hAnsi="宋体" w:cs="宋体"/>
                <w:b/>
                <w:bCs/>
                <w:color w:val="0000FF"/>
                <w:kern w:val="0"/>
                <w:sz w:val="18"/>
                <w:szCs w:val="18"/>
              </w:rPr>
              <w:t>拟定配套日产能</w:t>
            </w:r>
            <w:r>
              <w:rPr>
                <w:rFonts w:hint="eastAsia" w:ascii="宋体" w:hAnsi="宋体" w:cs="宋体"/>
                <w:b/>
                <w:bCs/>
                <w:color w:val="FF0000"/>
                <w:kern w:val="0"/>
                <w:sz w:val="18"/>
                <w:szCs w:val="18"/>
              </w:rPr>
              <w:t>X</w:t>
            </w:r>
            <w:r>
              <w:rPr>
                <w:rFonts w:hint="eastAsia" w:ascii="宋体" w:hAnsi="宋体" w:cs="宋体"/>
                <w:b/>
                <w:bCs/>
                <w:color w:val="0000FF"/>
                <w:kern w:val="0"/>
                <w:sz w:val="18"/>
                <w:szCs w:val="18"/>
              </w:rPr>
              <w:t>台套/日，（每台按</w:t>
            </w:r>
            <w:r>
              <w:rPr>
                <w:rFonts w:hint="eastAsia" w:ascii="宋体" w:hAnsi="宋体" w:cs="宋体"/>
                <w:b/>
                <w:bCs/>
                <w:color w:val="FF0000"/>
                <w:kern w:val="0"/>
                <w:sz w:val="18"/>
                <w:szCs w:val="18"/>
              </w:rPr>
              <w:t>X</w:t>
            </w:r>
            <w:r>
              <w:rPr>
                <w:rFonts w:hint="eastAsia" w:ascii="宋体" w:hAnsi="宋体" w:cs="宋体"/>
                <w:b/>
                <w:bCs/>
                <w:color w:val="0000FF"/>
                <w:kern w:val="0"/>
                <w:sz w:val="18"/>
                <w:szCs w:val="18"/>
              </w:rPr>
              <w:t>个计算）</w:t>
            </w:r>
            <w:bookmarkStart w:id="22" w:name="OLE_LINK76"/>
            <w:r>
              <w:rPr>
                <w:rFonts w:hint="eastAsia" w:ascii="宋体" w:hAnsi="宋体" w:cs="宋体"/>
                <w:b/>
                <w:bCs/>
                <w:color w:val="0000FF"/>
                <w:kern w:val="0"/>
                <w:sz w:val="18"/>
                <w:szCs w:val="18"/>
              </w:rPr>
              <w:t>【如日供货量30台套/50台套/100台套/150台套</w:t>
            </w:r>
            <w:r>
              <w:rPr>
                <w:rFonts w:ascii="宋体" w:hAnsi="宋体" w:cs="宋体"/>
                <w:b/>
                <w:bCs/>
                <w:color w:val="0000FF"/>
                <w:kern w:val="0"/>
                <w:sz w:val="18"/>
                <w:szCs w:val="18"/>
              </w:rPr>
              <w:t>……</w:t>
            </w:r>
            <w:r>
              <w:rPr>
                <w:rFonts w:hint="eastAsia" w:ascii="宋体" w:hAnsi="宋体" w:cs="宋体"/>
                <w:b/>
                <w:bCs/>
                <w:color w:val="0000FF"/>
                <w:kern w:val="0"/>
                <w:sz w:val="18"/>
                <w:szCs w:val="18"/>
              </w:rPr>
              <w:t>】</w:t>
            </w:r>
            <w:bookmarkEnd w:id="22"/>
          </w:p>
        </w:tc>
        <w:tc>
          <w:tcPr>
            <w:tcW w:w="605" w:type="pct"/>
            <w:vMerge w:val="continue"/>
            <w:tcBorders>
              <w:top w:val="nil"/>
              <w:left w:val="single" w:color="auto" w:sz="4" w:space="0"/>
              <w:bottom w:val="single" w:color="auto" w:sz="4" w:space="0"/>
              <w:right w:val="single" w:color="auto" w:sz="4" w:space="0"/>
            </w:tcBorders>
            <w:vAlign w:val="center"/>
          </w:tcPr>
          <w:p w14:paraId="183552D5">
            <w:pPr>
              <w:widowControl/>
              <w:wordWrap w:val="0"/>
              <w:spacing w:line="240" w:lineRule="exact"/>
              <w:jc w:val="left"/>
              <w:rPr>
                <w:rFonts w:hint="eastAsia" w:ascii="宋体" w:hAnsi="宋体" w:cs="宋体"/>
                <w:color w:val="000000"/>
                <w:kern w:val="0"/>
                <w:sz w:val="18"/>
                <w:szCs w:val="18"/>
              </w:rPr>
            </w:pPr>
          </w:p>
        </w:tc>
      </w:tr>
      <w:tr w14:paraId="4FB597EF">
        <w:tblPrEx>
          <w:tblCellMar>
            <w:top w:w="0" w:type="dxa"/>
            <w:left w:w="108" w:type="dxa"/>
            <w:bottom w:w="0" w:type="dxa"/>
            <w:right w:w="108" w:type="dxa"/>
          </w:tblCellMar>
        </w:tblPrEx>
        <w:trPr>
          <w:trHeight w:val="20" w:hRule="atLeast"/>
        </w:trPr>
        <w:tc>
          <w:tcPr>
            <w:tcW w:w="161" w:type="pct"/>
            <w:vMerge w:val="continue"/>
            <w:tcBorders>
              <w:top w:val="nil"/>
              <w:left w:val="single" w:color="auto" w:sz="4" w:space="0"/>
              <w:bottom w:val="single" w:color="auto" w:sz="4" w:space="0"/>
              <w:right w:val="single" w:color="auto" w:sz="4" w:space="0"/>
            </w:tcBorders>
            <w:vAlign w:val="center"/>
          </w:tcPr>
          <w:p w14:paraId="26D9CFC2">
            <w:pPr>
              <w:widowControl/>
              <w:wordWrap w:val="0"/>
              <w:spacing w:line="240" w:lineRule="exact"/>
              <w:jc w:val="left"/>
              <w:rPr>
                <w:rFonts w:hint="eastAsia" w:ascii="宋体" w:hAnsi="宋体" w:cs="宋体"/>
                <w:b/>
                <w:bCs/>
                <w:color w:val="000000"/>
                <w:kern w:val="0"/>
                <w:sz w:val="18"/>
                <w:szCs w:val="18"/>
              </w:rPr>
            </w:pPr>
          </w:p>
        </w:tc>
        <w:tc>
          <w:tcPr>
            <w:tcW w:w="412" w:type="pct"/>
            <w:vMerge w:val="continue"/>
            <w:tcBorders>
              <w:top w:val="nil"/>
              <w:left w:val="single" w:color="auto" w:sz="4" w:space="0"/>
              <w:bottom w:val="single" w:color="auto" w:sz="4" w:space="0"/>
              <w:right w:val="single" w:color="auto" w:sz="4" w:space="0"/>
            </w:tcBorders>
            <w:vAlign w:val="center"/>
          </w:tcPr>
          <w:p w14:paraId="0D0415A7">
            <w:pPr>
              <w:widowControl/>
              <w:wordWrap w:val="0"/>
              <w:spacing w:line="240" w:lineRule="exact"/>
              <w:jc w:val="left"/>
              <w:rPr>
                <w:rFonts w:hint="eastAsia" w:ascii="宋体" w:hAnsi="宋体" w:cs="宋体"/>
                <w:b/>
                <w:bCs/>
                <w:color w:val="000000"/>
                <w:kern w:val="0"/>
                <w:sz w:val="18"/>
                <w:szCs w:val="18"/>
              </w:rPr>
            </w:pPr>
          </w:p>
        </w:tc>
        <w:tc>
          <w:tcPr>
            <w:tcW w:w="820" w:type="pct"/>
            <w:tcBorders>
              <w:top w:val="nil"/>
              <w:left w:val="nil"/>
              <w:bottom w:val="single" w:color="auto" w:sz="4" w:space="0"/>
              <w:right w:val="single" w:color="auto" w:sz="4" w:space="0"/>
            </w:tcBorders>
            <w:vAlign w:val="center"/>
          </w:tcPr>
          <w:p w14:paraId="70BF68C7">
            <w:pPr>
              <w:widowControl/>
              <w:wordWrap w:val="0"/>
              <w:spacing w:line="240" w:lineRule="exact"/>
              <w:jc w:val="center"/>
              <w:rPr>
                <w:rFonts w:hint="eastAsia" w:ascii="宋体" w:hAnsi="宋体" w:cs="宋体"/>
                <w:b/>
                <w:bCs/>
                <w:color w:val="000000"/>
                <w:kern w:val="0"/>
                <w:sz w:val="18"/>
                <w:szCs w:val="18"/>
              </w:rPr>
            </w:pPr>
            <w:r>
              <w:rPr>
                <w:rFonts w:hint="eastAsia" w:ascii="宋体" w:hAnsi="宋体" w:cs="宋体"/>
                <w:b/>
                <w:bCs/>
                <w:color w:val="000000"/>
                <w:kern w:val="0"/>
                <w:sz w:val="18"/>
                <w:szCs w:val="18"/>
              </w:rPr>
              <w:t>交付保障考核</w:t>
            </w:r>
          </w:p>
        </w:tc>
        <w:tc>
          <w:tcPr>
            <w:tcW w:w="325" w:type="pct"/>
            <w:tcBorders>
              <w:top w:val="nil"/>
              <w:left w:val="nil"/>
              <w:bottom w:val="single" w:color="auto" w:sz="4" w:space="0"/>
              <w:right w:val="single" w:color="auto" w:sz="4" w:space="0"/>
            </w:tcBorders>
            <w:vAlign w:val="center"/>
          </w:tcPr>
          <w:p w14:paraId="7A239493">
            <w:pPr>
              <w:widowControl/>
              <w:wordWrap w:val="0"/>
              <w:spacing w:line="240" w:lineRule="exact"/>
              <w:jc w:val="center"/>
              <w:rPr>
                <w:rFonts w:hint="eastAsia" w:ascii="宋体" w:hAnsi="宋体" w:cs="宋体"/>
                <w:b/>
                <w:bCs/>
                <w:color w:val="000000"/>
                <w:kern w:val="0"/>
                <w:sz w:val="18"/>
                <w:szCs w:val="18"/>
              </w:rPr>
            </w:pPr>
            <w:r>
              <w:rPr>
                <w:rFonts w:hint="eastAsia" w:ascii="宋体" w:hAnsi="宋体" w:cs="宋体"/>
                <w:b/>
                <w:bCs/>
                <w:color w:val="000000"/>
                <w:kern w:val="0"/>
                <w:sz w:val="18"/>
                <w:szCs w:val="18"/>
              </w:rPr>
              <w:t>★</w:t>
            </w:r>
          </w:p>
        </w:tc>
        <w:tc>
          <w:tcPr>
            <w:tcW w:w="2675" w:type="pct"/>
            <w:tcBorders>
              <w:top w:val="nil"/>
              <w:left w:val="nil"/>
              <w:bottom w:val="single" w:color="auto" w:sz="4" w:space="0"/>
              <w:right w:val="single" w:color="auto" w:sz="4" w:space="0"/>
            </w:tcBorders>
            <w:vAlign w:val="center"/>
          </w:tcPr>
          <w:p w14:paraId="4207B607">
            <w:pPr>
              <w:widowControl/>
              <w:wordWrap w:val="0"/>
              <w:spacing w:line="240" w:lineRule="exact"/>
              <w:jc w:val="left"/>
              <w:rPr>
                <w:rFonts w:hint="eastAsia" w:ascii="宋体" w:hAnsi="宋体" w:cs="宋体"/>
                <w:b/>
                <w:bCs/>
                <w:color w:val="000000"/>
                <w:kern w:val="0"/>
                <w:sz w:val="18"/>
                <w:szCs w:val="18"/>
              </w:rPr>
            </w:pPr>
            <w:r>
              <w:rPr>
                <w:rFonts w:hint="eastAsia" w:ascii="宋体" w:hAnsi="宋体" w:cs="宋体"/>
                <w:b/>
                <w:bCs/>
                <w:color w:val="000000"/>
                <w:kern w:val="0"/>
                <w:sz w:val="18"/>
                <w:szCs w:val="18"/>
              </w:rPr>
              <w:t>★提供标书合同附件的《供应商交付保障协议》-盖章</w:t>
            </w:r>
          </w:p>
        </w:tc>
        <w:tc>
          <w:tcPr>
            <w:tcW w:w="605" w:type="pct"/>
            <w:vMerge w:val="continue"/>
            <w:tcBorders>
              <w:top w:val="nil"/>
              <w:left w:val="single" w:color="auto" w:sz="4" w:space="0"/>
              <w:bottom w:val="single" w:color="auto" w:sz="4" w:space="0"/>
              <w:right w:val="single" w:color="auto" w:sz="4" w:space="0"/>
            </w:tcBorders>
            <w:vAlign w:val="center"/>
          </w:tcPr>
          <w:p w14:paraId="3CDEF04D">
            <w:pPr>
              <w:widowControl/>
              <w:wordWrap w:val="0"/>
              <w:spacing w:line="240" w:lineRule="exact"/>
              <w:jc w:val="left"/>
              <w:rPr>
                <w:rFonts w:hint="eastAsia" w:ascii="宋体" w:hAnsi="宋体" w:cs="宋体"/>
                <w:color w:val="000000"/>
                <w:kern w:val="0"/>
                <w:sz w:val="18"/>
                <w:szCs w:val="18"/>
              </w:rPr>
            </w:pPr>
          </w:p>
        </w:tc>
      </w:tr>
      <w:tr w14:paraId="451B9AA4">
        <w:tblPrEx>
          <w:tblCellMar>
            <w:top w:w="0" w:type="dxa"/>
            <w:left w:w="108" w:type="dxa"/>
            <w:bottom w:w="0" w:type="dxa"/>
            <w:right w:w="108" w:type="dxa"/>
          </w:tblCellMar>
        </w:tblPrEx>
        <w:trPr>
          <w:trHeight w:val="20" w:hRule="atLeast"/>
        </w:trPr>
        <w:tc>
          <w:tcPr>
            <w:tcW w:w="161" w:type="pct"/>
            <w:vMerge w:val="continue"/>
            <w:tcBorders>
              <w:top w:val="nil"/>
              <w:left w:val="single" w:color="auto" w:sz="4" w:space="0"/>
              <w:bottom w:val="single" w:color="auto" w:sz="4" w:space="0"/>
              <w:right w:val="single" w:color="auto" w:sz="4" w:space="0"/>
            </w:tcBorders>
            <w:vAlign w:val="center"/>
          </w:tcPr>
          <w:p w14:paraId="04927D20">
            <w:pPr>
              <w:widowControl/>
              <w:wordWrap w:val="0"/>
              <w:spacing w:line="240" w:lineRule="exact"/>
              <w:jc w:val="left"/>
              <w:rPr>
                <w:rFonts w:hint="eastAsia" w:ascii="宋体" w:hAnsi="宋体" w:cs="宋体"/>
                <w:b/>
                <w:bCs/>
                <w:color w:val="000000"/>
                <w:kern w:val="0"/>
                <w:sz w:val="18"/>
                <w:szCs w:val="18"/>
              </w:rPr>
            </w:pPr>
          </w:p>
        </w:tc>
        <w:tc>
          <w:tcPr>
            <w:tcW w:w="412" w:type="pct"/>
            <w:vMerge w:val="continue"/>
            <w:tcBorders>
              <w:top w:val="nil"/>
              <w:left w:val="single" w:color="auto" w:sz="4" w:space="0"/>
              <w:bottom w:val="single" w:color="auto" w:sz="4" w:space="0"/>
              <w:right w:val="single" w:color="auto" w:sz="4" w:space="0"/>
            </w:tcBorders>
            <w:vAlign w:val="center"/>
          </w:tcPr>
          <w:p w14:paraId="02D6EB2D">
            <w:pPr>
              <w:widowControl/>
              <w:wordWrap w:val="0"/>
              <w:spacing w:line="240" w:lineRule="exact"/>
              <w:jc w:val="left"/>
              <w:rPr>
                <w:rFonts w:hint="eastAsia" w:ascii="宋体" w:hAnsi="宋体" w:cs="宋体"/>
                <w:b/>
                <w:bCs/>
                <w:color w:val="000000"/>
                <w:kern w:val="0"/>
                <w:sz w:val="18"/>
                <w:szCs w:val="18"/>
              </w:rPr>
            </w:pPr>
          </w:p>
        </w:tc>
        <w:tc>
          <w:tcPr>
            <w:tcW w:w="820" w:type="pct"/>
            <w:tcBorders>
              <w:top w:val="nil"/>
              <w:left w:val="nil"/>
              <w:bottom w:val="single" w:color="auto" w:sz="4" w:space="0"/>
              <w:right w:val="single" w:color="auto" w:sz="4" w:space="0"/>
            </w:tcBorders>
            <w:vAlign w:val="center"/>
          </w:tcPr>
          <w:p w14:paraId="4FFE7590">
            <w:pPr>
              <w:widowControl/>
              <w:wordWrap w:val="0"/>
              <w:spacing w:line="240" w:lineRule="exact"/>
              <w:jc w:val="center"/>
              <w:rPr>
                <w:rFonts w:ascii="宋体" w:hAnsi="宋体" w:cs="宋体"/>
                <w:b/>
                <w:bCs/>
                <w:color w:val="000000"/>
                <w:kern w:val="0"/>
                <w:sz w:val="18"/>
                <w:szCs w:val="18"/>
              </w:rPr>
            </w:pPr>
            <w:r>
              <w:rPr>
                <w:rFonts w:hint="eastAsia" w:ascii="宋体" w:hAnsi="宋体" w:cs="宋体"/>
                <w:b/>
                <w:bCs/>
                <w:color w:val="000000"/>
                <w:kern w:val="0"/>
                <w:sz w:val="18"/>
                <w:szCs w:val="18"/>
              </w:rPr>
              <w:t>应急响应承诺</w:t>
            </w:r>
          </w:p>
          <w:p w14:paraId="1098F0D0">
            <w:pPr>
              <w:widowControl/>
              <w:wordWrap w:val="0"/>
              <w:spacing w:line="240" w:lineRule="exact"/>
              <w:jc w:val="center"/>
              <w:rPr>
                <w:rFonts w:hint="eastAsia" w:ascii="宋体" w:hAnsi="宋体" w:cs="宋体"/>
                <w:b/>
                <w:bCs/>
                <w:color w:val="000000"/>
                <w:kern w:val="0"/>
                <w:sz w:val="18"/>
                <w:szCs w:val="18"/>
              </w:rPr>
            </w:pPr>
            <w:r>
              <w:rPr>
                <w:rFonts w:hint="eastAsia" w:ascii="宋体" w:hAnsi="宋体" w:cs="宋体"/>
                <w:b/>
                <w:bCs/>
                <w:color w:val="000000"/>
                <w:kern w:val="0"/>
                <w:sz w:val="18"/>
                <w:szCs w:val="18"/>
              </w:rPr>
              <w:t>（特殊需求下）</w:t>
            </w:r>
          </w:p>
        </w:tc>
        <w:tc>
          <w:tcPr>
            <w:tcW w:w="325" w:type="pct"/>
            <w:tcBorders>
              <w:top w:val="nil"/>
              <w:left w:val="nil"/>
              <w:bottom w:val="single" w:color="auto" w:sz="4" w:space="0"/>
              <w:right w:val="single" w:color="auto" w:sz="4" w:space="0"/>
            </w:tcBorders>
            <w:vAlign w:val="center"/>
          </w:tcPr>
          <w:p w14:paraId="565B036A">
            <w:pPr>
              <w:widowControl/>
              <w:wordWrap w:val="0"/>
              <w:spacing w:line="240" w:lineRule="exact"/>
              <w:jc w:val="center"/>
              <w:rPr>
                <w:rFonts w:hint="eastAsia" w:ascii="宋体" w:hAnsi="宋体" w:cs="宋体"/>
                <w:b/>
                <w:bCs/>
                <w:color w:val="000000"/>
                <w:kern w:val="0"/>
                <w:sz w:val="18"/>
                <w:szCs w:val="18"/>
              </w:rPr>
            </w:pPr>
            <w:r>
              <w:rPr>
                <w:rFonts w:hint="eastAsia" w:ascii="宋体" w:hAnsi="宋体" w:cs="宋体"/>
                <w:b/>
                <w:bCs/>
                <w:color w:val="000000"/>
                <w:kern w:val="0"/>
                <w:sz w:val="18"/>
                <w:szCs w:val="18"/>
              </w:rPr>
              <w:t>★</w:t>
            </w:r>
          </w:p>
        </w:tc>
        <w:tc>
          <w:tcPr>
            <w:tcW w:w="2675" w:type="pct"/>
            <w:tcBorders>
              <w:top w:val="nil"/>
              <w:left w:val="nil"/>
              <w:bottom w:val="single" w:color="auto" w:sz="4" w:space="0"/>
              <w:right w:val="single" w:color="auto" w:sz="4" w:space="0"/>
            </w:tcBorders>
            <w:vAlign w:val="center"/>
          </w:tcPr>
          <w:p w14:paraId="7C9EDC5F">
            <w:pPr>
              <w:widowControl/>
              <w:wordWrap w:val="0"/>
              <w:spacing w:line="240" w:lineRule="exact"/>
              <w:jc w:val="left"/>
              <w:rPr>
                <w:rFonts w:hint="eastAsia" w:ascii="宋体" w:hAnsi="宋体" w:cs="宋体"/>
                <w:b/>
                <w:bCs/>
                <w:color w:val="000000"/>
                <w:kern w:val="0"/>
                <w:sz w:val="18"/>
                <w:szCs w:val="18"/>
              </w:rPr>
            </w:pPr>
            <w:r>
              <w:rPr>
                <w:rFonts w:hint="eastAsia" w:ascii="宋体" w:hAnsi="宋体" w:cs="宋体"/>
                <w:b/>
                <w:bCs/>
                <w:color w:val="000000"/>
                <w:kern w:val="0"/>
                <w:sz w:val="18"/>
                <w:szCs w:val="18"/>
              </w:rPr>
              <w:t>提供特殊应急响应供应承诺函（正常采购周期的</w:t>
            </w:r>
            <w:r>
              <w:rPr>
                <w:rFonts w:hint="eastAsia" w:ascii="宋体" w:hAnsi="宋体" w:cs="宋体"/>
                <w:b/>
                <w:bCs/>
                <w:color w:val="0000FF"/>
                <w:kern w:val="0"/>
                <w:sz w:val="18"/>
                <w:szCs w:val="18"/>
              </w:rPr>
              <w:t>【如1/4、1/3、1/2</w:t>
            </w:r>
            <w:r>
              <w:rPr>
                <w:rFonts w:ascii="宋体" w:hAnsi="宋体" w:cs="宋体"/>
                <w:b/>
                <w:bCs/>
                <w:color w:val="0000FF"/>
                <w:kern w:val="0"/>
                <w:sz w:val="18"/>
                <w:szCs w:val="18"/>
              </w:rPr>
              <w:t>……</w:t>
            </w:r>
            <w:r>
              <w:rPr>
                <w:rFonts w:hint="eastAsia" w:ascii="宋体" w:hAnsi="宋体" w:cs="宋体"/>
                <w:b/>
                <w:bCs/>
                <w:color w:val="0000FF"/>
                <w:kern w:val="0"/>
                <w:sz w:val="18"/>
                <w:szCs w:val="18"/>
              </w:rPr>
              <w:t>】</w:t>
            </w:r>
            <w:r>
              <w:rPr>
                <w:rFonts w:hint="eastAsia" w:ascii="宋体" w:hAnsi="宋体" w:cs="宋体"/>
                <w:b/>
                <w:bCs/>
                <w:color w:val="000000"/>
                <w:kern w:val="0"/>
                <w:sz w:val="18"/>
                <w:szCs w:val="18"/>
              </w:rPr>
              <w:t>到货）</w:t>
            </w:r>
          </w:p>
        </w:tc>
        <w:tc>
          <w:tcPr>
            <w:tcW w:w="605" w:type="pct"/>
            <w:vMerge w:val="continue"/>
            <w:tcBorders>
              <w:top w:val="nil"/>
              <w:left w:val="single" w:color="auto" w:sz="4" w:space="0"/>
              <w:bottom w:val="single" w:color="auto" w:sz="4" w:space="0"/>
              <w:right w:val="single" w:color="auto" w:sz="4" w:space="0"/>
            </w:tcBorders>
            <w:vAlign w:val="center"/>
          </w:tcPr>
          <w:p w14:paraId="75792F61">
            <w:pPr>
              <w:widowControl/>
              <w:wordWrap w:val="0"/>
              <w:spacing w:line="240" w:lineRule="exact"/>
              <w:jc w:val="left"/>
              <w:rPr>
                <w:rFonts w:hint="eastAsia" w:ascii="宋体" w:hAnsi="宋体" w:cs="宋体"/>
                <w:color w:val="000000"/>
                <w:kern w:val="0"/>
                <w:sz w:val="18"/>
                <w:szCs w:val="18"/>
              </w:rPr>
            </w:pPr>
          </w:p>
        </w:tc>
      </w:tr>
      <w:tr w14:paraId="43DC6A1C">
        <w:tblPrEx>
          <w:tblCellMar>
            <w:top w:w="0" w:type="dxa"/>
            <w:left w:w="108" w:type="dxa"/>
            <w:bottom w:w="0" w:type="dxa"/>
            <w:right w:w="108" w:type="dxa"/>
          </w:tblCellMar>
        </w:tblPrEx>
        <w:trPr>
          <w:trHeight w:val="20" w:hRule="atLeast"/>
        </w:trPr>
        <w:tc>
          <w:tcPr>
            <w:tcW w:w="161" w:type="pct"/>
            <w:vMerge w:val="continue"/>
            <w:tcBorders>
              <w:top w:val="nil"/>
              <w:left w:val="single" w:color="auto" w:sz="4" w:space="0"/>
              <w:bottom w:val="single" w:color="auto" w:sz="4" w:space="0"/>
              <w:right w:val="single" w:color="auto" w:sz="4" w:space="0"/>
            </w:tcBorders>
            <w:vAlign w:val="center"/>
          </w:tcPr>
          <w:p w14:paraId="4F086FE7">
            <w:pPr>
              <w:widowControl/>
              <w:wordWrap w:val="0"/>
              <w:spacing w:line="240" w:lineRule="exact"/>
              <w:jc w:val="left"/>
              <w:rPr>
                <w:rFonts w:hint="eastAsia" w:ascii="宋体" w:hAnsi="宋体" w:cs="宋体"/>
                <w:b/>
                <w:bCs/>
                <w:color w:val="000000"/>
                <w:kern w:val="0"/>
                <w:sz w:val="18"/>
                <w:szCs w:val="18"/>
              </w:rPr>
            </w:pPr>
          </w:p>
        </w:tc>
        <w:tc>
          <w:tcPr>
            <w:tcW w:w="412" w:type="pct"/>
            <w:vMerge w:val="continue"/>
            <w:tcBorders>
              <w:top w:val="nil"/>
              <w:left w:val="single" w:color="auto" w:sz="4" w:space="0"/>
              <w:bottom w:val="single" w:color="auto" w:sz="4" w:space="0"/>
              <w:right w:val="single" w:color="auto" w:sz="4" w:space="0"/>
            </w:tcBorders>
            <w:vAlign w:val="center"/>
          </w:tcPr>
          <w:p w14:paraId="11B9C118">
            <w:pPr>
              <w:widowControl/>
              <w:wordWrap w:val="0"/>
              <w:spacing w:line="240" w:lineRule="exact"/>
              <w:jc w:val="left"/>
              <w:rPr>
                <w:rFonts w:hint="eastAsia" w:ascii="宋体" w:hAnsi="宋体" w:cs="宋体"/>
                <w:b/>
                <w:bCs/>
                <w:color w:val="000000"/>
                <w:kern w:val="0"/>
                <w:sz w:val="18"/>
                <w:szCs w:val="18"/>
              </w:rPr>
            </w:pPr>
          </w:p>
        </w:tc>
        <w:tc>
          <w:tcPr>
            <w:tcW w:w="820" w:type="pct"/>
            <w:tcBorders>
              <w:top w:val="nil"/>
              <w:left w:val="nil"/>
              <w:bottom w:val="single" w:color="auto" w:sz="4" w:space="0"/>
              <w:right w:val="single" w:color="auto" w:sz="4" w:space="0"/>
            </w:tcBorders>
            <w:vAlign w:val="center"/>
          </w:tcPr>
          <w:p w14:paraId="43B87653">
            <w:pPr>
              <w:widowControl/>
              <w:wordWrap w:val="0"/>
              <w:spacing w:line="240" w:lineRule="exact"/>
              <w:jc w:val="center"/>
              <w:rPr>
                <w:rFonts w:ascii="宋体" w:hAnsi="宋体" w:cs="宋体"/>
                <w:b/>
                <w:bCs/>
                <w:color w:val="000000"/>
                <w:kern w:val="0"/>
                <w:sz w:val="18"/>
                <w:szCs w:val="18"/>
              </w:rPr>
            </w:pPr>
            <w:r>
              <w:rPr>
                <w:rFonts w:hint="eastAsia" w:ascii="宋体" w:hAnsi="宋体" w:cs="宋体"/>
                <w:b/>
                <w:bCs/>
                <w:color w:val="000000"/>
                <w:kern w:val="0"/>
                <w:sz w:val="18"/>
                <w:szCs w:val="18"/>
              </w:rPr>
              <w:t>主流客车厂配套</w:t>
            </w:r>
          </w:p>
          <w:p w14:paraId="6AA89D4C">
            <w:pPr>
              <w:widowControl/>
              <w:wordWrap w:val="0"/>
              <w:spacing w:line="240" w:lineRule="exact"/>
              <w:jc w:val="center"/>
              <w:rPr>
                <w:rFonts w:hint="eastAsia" w:ascii="宋体" w:hAnsi="宋体" w:cs="宋体"/>
                <w:b/>
                <w:bCs/>
                <w:color w:val="000000"/>
                <w:kern w:val="0"/>
                <w:sz w:val="18"/>
                <w:szCs w:val="18"/>
              </w:rPr>
            </w:pPr>
            <w:r>
              <w:rPr>
                <w:rFonts w:hint="eastAsia" w:ascii="宋体" w:hAnsi="宋体" w:cs="宋体"/>
                <w:b/>
                <w:bCs/>
                <w:color w:val="000000"/>
                <w:kern w:val="0"/>
                <w:sz w:val="18"/>
                <w:szCs w:val="18"/>
              </w:rPr>
              <w:t>（需提供证明资料）</w:t>
            </w:r>
          </w:p>
        </w:tc>
        <w:tc>
          <w:tcPr>
            <w:tcW w:w="325" w:type="pct"/>
            <w:tcBorders>
              <w:top w:val="nil"/>
              <w:left w:val="nil"/>
              <w:bottom w:val="single" w:color="auto" w:sz="4" w:space="0"/>
              <w:right w:val="single" w:color="auto" w:sz="4" w:space="0"/>
            </w:tcBorders>
            <w:vAlign w:val="center"/>
          </w:tcPr>
          <w:p w14:paraId="61A7573B">
            <w:pPr>
              <w:widowControl/>
              <w:wordWrap w:val="0"/>
              <w:spacing w:line="240" w:lineRule="exact"/>
              <w:jc w:val="center"/>
              <w:rPr>
                <w:rFonts w:hint="eastAsia" w:ascii="宋体" w:hAnsi="宋体" w:cs="宋体"/>
                <w:b/>
                <w:bCs/>
                <w:color w:val="000000"/>
                <w:kern w:val="0"/>
                <w:sz w:val="18"/>
                <w:szCs w:val="18"/>
              </w:rPr>
            </w:pPr>
            <w:r>
              <w:rPr>
                <w:rFonts w:hint="eastAsia" w:ascii="宋体" w:hAnsi="宋体" w:cs="宋体"/>
                <w:b/>
                <w:bCs/>
                <w:color w:val="000000"/>
                <w:kern w:val="0"/>
                <w:sz w:val="18"/>
                <w:szCs w:val="18"/>
              </w:rPr>
              <w:t>★</w:t>
            </w:r>
          </w:p>
        </w:tc>
        <w:tc>
          <w:tcPr>
            <w:tcW w:w="2675" w:type="pct"/>
            <w:tcBorders>
              <w:top w:val="nil"/>
              <w:left w:val="nil"/>
              <w:bottom w:val="single" w:color="auto" w:sz="4" w:space="0"/>
              <w:right w:val="single" w:color="auto" w:sz="4" w:space="0"/>
            </w:tcBorders>
            <w:vAlign w:val="center"/>
          </w:tcPr>
          <w:p w14:paraId="4958161F">
            <w:pPr>
              <w:widowControl/>
              <w:wordWrap w:val="0"/>
              <w:spacing w:line="240" w:lineRule="exact"/>
              <w:jc w:val="left"/>
              <w:rPr>
                <w:rFonts w:hint="eastAsia" w:ascii="宋体" w:hAnsi="宋体" w:cs="宋体"/>
                <w:b/>
                <w:bCs/>
                <w:color w:val="000000"/>
                <w:kern w:val="0"/>
                <w:sz w:val="18"/>
                <w:szCs w:val="18"/>
              </w:rPr>
            </w:pPr>
            <w:r>
              <w:rPr>
                <w:rFonts w:hint="eastAsia" w:ascii="宋体" w:hAnsi="宋体" w:cs="宋体"/>
                <w:b/>
                <w:bCs/>
                <w:color w:val="000000"/>
                <w:kern w:val="0"/>
                <w:sz w:val="18"/>
                <w:szCs w:val="18"/>
              </w:rPr>
              <w:t>1、提供主流客车厂/商用车/乘用车厂的近</w:t>
            </w:r>
            <w:r>
              <w:rPr>
                <w:rFonts w:hint="eastAsia" w:ascii="宋体" w:hAnsi="宋体" w:cs="宋体"/>
                <w:b/>
                <w:bCs/>
                <w:color w:val="FF0000"/>
                <w:kern w:val="0"/>
                <w:sz w:val="18"/>
                <w:szCs w:val="18"/>
              </w:rPr>
              <w:t>2</w:t>
            </w:r>
            <w:r>
              <w:rPr>
                <w:rFonts w:hint="eastAsia" w:ascii="宋体" w:hAnsi="宋体" w:cs="宋体"/>
                <w:b/>
                <w:bCs/>
                <w:color w:val="000000"/>
                <w:kern w:val="0"/>
                <w:sz w:val="18"/>
                <w:szCs w:val="18"/>
              </w:rPr>
              <w:t>年（</w:t>
            </w:r>
            <w:r>
              <w:rPr>
                <w:rFonts w:hint="eastAsia" w:ascii="宋体" w:hAnsi="宋体" w:cs="宋体"/>
                <w:b/>
                <w:bCs/>
                <w:color w:val="FF0000"/>
                <w:kern w:val="0"/>
                <w:sz w:val="18"/>
                <w:szCs w:val="18"/>
              </w:rPr>
              <w:t>20</w:t>
            </w:r>
            <w:r>
              <w:rPr>
                <w:rFonts w:hint="eastAsia" w:ascii="宋体" w:hAnsi="宋体" w:cs="宋体"/>
                <w:b/>
                <w:bCs/>
                <w:color w:val="FF0000"/>
                <w:kern w:val="0"/>
                <w:sz w:val="18"/>
                <w:szCs w:val="18"/>
                <w:lang w:val="en-US" w:eastAsia="zh-CN"/>
              </w:rPr>
              <w:t>24</w:t>
            </w:r>
            <w:r>
              <w:rPr>
                <w:rFonts w:hint="eastAsia" w:ascii="宋体" w:hAnsi="宋体" w:cs="宋体"/>
                <w:b/>
                <w:bCs/>
                <w:color w:val="FF0000"/>
                <w:kern w:val="0"/>
                <w:sz w:val="18"/>
                <w:szCs w:val="18"/>
              </w:rPr>
              <w:t>-20</w:t>
            </w:r>
            <w:r>
              <w:rPr>
                <w:rFonts w:hint="eastAsia" w:ascii="宋体" w:hAnsi="宋体" w:cs="宋体"/>
                <w:b/>
                <w:bCs/>
                <w:color w:val="FF0000"/>
                <w:kern w:val="0"/>
                <w:sz w:val="18"/>
                <w:szCs w:val="18"/>
                <w:lang w:val="en-US" w:eastAsia="zh-CN"/>
              </w:rPr>
              <w:t>25</w:t>
            </w:r>
            <w:r>
              <w:rPr>
                <w:rFonts w:hint="eastAsia" w:ascii="宋体" w:hAnsi="宋体" w:cs="宋体"/>
                <w:b/>
                <w:bCs/>
                <w:color w:val="FF0000"/>
                <w:kern w:val="0"/>
                <w:sz w:val="18"/>
                <w:szCs w:val="18"/>
              </w:rPr>
              <w:t>年度）</w:t>
            </w:r>
            <w:r>
              <w:rPr>
                <w:rFonts w:hint="eastAsia" w:ascii="宋体" w:hAnsi="宋体" w:cs="宋体"/>
                <w:b/>
                <w:bCs/>
                <w:color w:val="000000"/>
                <w:kern w:val="0"/>
                <w:sz w:val="18"/>
                <w:szCs w:val="18"/>
              </w:rPr>
              <w:t>的供货证明</w:t>
            </w:r>
            <w:r>
              <w:rPr>
                <w:rFonts w:hint="eastAsia" w:ascii="宋体" w:hAnsi="宋体" w:cs="宋体"/>
                <w:b/>
                <w:bCs/>
                <w:color w:val="FF0000"/>
                <w:kern w:val="0"/>
                <w:sz w:val="18"/>
                <w:szCs w:val="18"/>
              </w:rPr>
              <w:t>（与招标标的件同品类）</w:t>
            </w:r>
            <w:r>
              <w:rPr>
                <w:rFonts w:hint="eastAsia" w:ascii="宋体" w:hAnsi="宋体" w:cs="宋体"/>
                <w:b/>
                <w:bCs/>
                <w:color w:val="0000FF"/>
                <w:kern w:val="0"/>
                <w:sz w:val="18"/>
                <w:szCs w:val="18"/>
              </w:rPr>
              <w:t>【提供相应采购合同证明（必要时隐去敏感相关项）及年度结算凭证（包含但不限于</w:t>
            </w:r>
            <w:r>
              <w:rPr>
                <w:rFonts w:ascii="宋体" w:hAnsi="宋体" w:cs="宋体"/>
                <w:b/>
                <w:bCs/>
                <w:color w:val="0000FF"/>
                <w:kern w:val="0"/>
                <w:sz w:val="18"/>
                <w:szCs w:val="18"/>
              </w:rPr>
              <w:t>合同台账及对应的结算发票</w:t>
            </w:r>
            <w:r>
              <w:rPr>
                <w:rFonts w:hint="eastAsia" w:ascii="宋体" w:hAnsi="宋体" w:cs="宋体"/>
                <w:b/>
                <w:bCs/>
                <w:color w:val="0000FF"/>
                <w:kern w:val="0"/>
                <w:sz w:val="18"/>
                <w:szCs w:val="18"/>
              </w:rPr>
              <w:t>或</w:t>
            </w:r>
            <w:r>
              <w:rPr>
                <w:rFonts w:ascii="宋体" w:hAnsi="宋体" w:cs="宋体"/>
                <w:b/>
                <w:bCs/>
                <w:color w:val="0000FF"/>
                <w:kern w:val="0"/>
                <w:sz w:val="18"/>
                <w:szCs w:val="18"/>
              </w:rPr>
              <w:t>付款凭证</w:t>
            </w:r>
            <w:r>
              <w:rPr>
                <w:rFonts w:hint="eastAsia" w:ascii="宋体" w:hAnsi="宋体" w:cs="宋体"/>
                <w:b/>
                <w:bCs/>
                <w:color w:val="0000FF"/>
                <w:kern w:val="0"/>
                <w:sz w:val="18"/>
                <w:szCs w:val="18"/>
              </w:rPr>
              <w:t>或</w:t>
            </w:r>
            <w:r>
              <w:rPr>
                <w:rFonts w:ascii="宋体" w:hAnsi="宋体" w:cs="宋体"/>
                <w:b/>
                <w:bCs/>
                <w:color w:val="0000FF"/>
                <w:kern w:val="0"/>
                <w:sz w:val="18"/>
                <w:szCs w:val="18"/>
              </w:rPr>
              <w:t>银行转账记录等结算凭证</w:t>
            </w:r>
            <w:r>
              <w:rPr>
                <w:rFonts w:hint="eastAsia" w:ascii="宋体" w:hAnsi="宋体" w:cs="宋体"/>
                <w:b/>
                <w:bCs/>
                <w:color w:val="0000FF"/>
                <w:kern w:val="0"/>
                <w:sz w:val="18"/>
                <w:szCs w:val="18"/>
              </w:rPr>
              <w:t>】；</w:t>
            </w:r>
          </w:p>
          <w:p w14:paraId="4D976BAD">
            <w:pPr>
              <w:widowControl/>
              <w:wordWrap w:val="0"/>
              <w:spacing w:line="240" w:lineRule="exact"/>
              <w:jc w:val="left"/>
              <w:rPr>
                <w:rFonts w:hint="eastAsia" w:ascii="宋体" w:hAnsi="宋体" w:cs="宋体"/>
                <w:b/>
                <w:bCs/>
                <w:color w:val="000000"/>
                <w:kern w:val="0"/>
                <w:sz w:val="18"/>
                <w:szCs w:val="18"/>
              </w:rPr>
            </w:pPr>
            <w:r>
              <w:rPr>
                <w:rFonts w:hint="eastAsia" w:ascii="宋体" w:hAnsi="宋体" w:cs="宋体"/>
                <w:b/>
                <w:bCs/>
                <w:color w:val="000000"/>
                <w:kern w:val="0"/>
                <w:sz w:val="18"/>
                <w:szCs w:val="18"/>
              </w:rPr>
              <w:t>2、有三龙两通的供货经历优先提供；</w:t>
            </w:r>
          </w:p>
        </w:tc>
        <w:tc>
          <w:tcPr>
            <w:tcW w:w="605" w:type="pct"/>
            <w:vMerge w:val="continue"/>
            <w:tcBorders>
              <w:top w:val="nil"/>
              <w:left w:val="single" w:color="auto" w:sz="4" w:space="0"/>
              <w:bottom w:val="single" w:color="auto" w:sz="4" w:space="0"/>
              <w:right w:val="single" w:color="auto" w:sz="4" w:space="0"/>
            </w:tcBorders>
            <w:vAlign w:val="center"/>
          </w:tcPr>
          <w:p w14:paraId="450AA157">
            <w:pPr>
              <w:widowControl/>
              <w:wordWrap w:val="0"/>
              <w:spacing w:line="240" w:lineRule="exact"/>
              <w:jc w:val="left"/>
              <w:rPr>
                <w:rFonts w:hint="eastAsia" w:ascii="宋体" w:hAnsi="宋体" w:cs="宋体"/>
                <w:color w:val="000000"/>
                <w:kern w:val="0"/>
                <w:sz w:val="18"/>
                <w:szCs w:val="18"/>
              </w:rPr>
            </w:pPr>
          </w:p>
        </w:tc>
      </w:tr>
      <w:tr w14:paraId="3C69D506">
        <w:tblPrEx>
          <w:tblCellMar>
            <w:top w:w="0" w:type="dxa"/>
            <w:left w:w="108" w:type="dxa"/>
            <w:bottom w:w="0" w:type="dxa"/>
            <w:right w:w="108" w:type="dxa"/>
          </w:tblCellMar>
        </w:tblPrEx>
        <w:trPr>
          <w:trHeight w:val="20" w:hRule="atLeast"/>
        </w:trPr>
        <w:tc>
          <w:tcPr>
            <w:tcW w:w="161" w:type="pct"/>
            <w:vMerge w:val="restart"/>
            <w:tcBorders>
              <w:top w:val="nil"/>
              <w:left w:val="single" w:color="auto" w:sz="4" w:space="0"/>
              <w:bottom w:val="single" w:color="auto" w:sz="4" w:space="0"/>
              <w:right w:val="single" w:color="auto" w:sz="4" w:space="0"/>
            </w:tcBorders>
            <w:vAlign w:val="center"/>
          </w:tcPr>
          <w:p w14:paraId="79DF9666">
            <w:pPr>
              <w:widowControl/>
              <w:wordWrap w:val="0"/>
              <w:spacing w:line="240" w:lineRule="exact"/>
              <w:jc w:val="center"/>
              <w:rPr>
                <w:rFonts w:hint="eastAsia" w:ascii="宋体" w:hAnsi="宋体" w:cs="宋体"/>
                <w:b/>
                <w:bCs/>
                <w:color w:val="000000"/>
                <w:kern w:val="0"/>
                <w:sz w:val="18"/>
                <w:szCs w:val="18"/>
              </w:rPr>
            </w:pPr>
            <w:bookmarkStart w:id="30" w:name="_GoBack" w:colFirst="2" w:colLast="4"/>
            <w:r>
              <w:rPr>
                <w:rFonts w:hint="eastAsia" w:ascii="宋体" w:hAnsi="宋体" w:cs="宋体"/>
                <w:b/>
                <w:bCs/>
                <w:color w:val="000000"/>
                <w:kern w:val="0"/>
                <w:sz w:val="18"/>
                <w:szCs w:val="18"/>
              </w:rPr>
              <w:t>4</w:t>
            </w:r>
          </w:p>
        </w:tc>
        <w:tc>
          <w:tcPr>
            <w:tcW w:w="412" w:type="pct"/>
            <w:vMerge w:val="restart"/>
            <w:tcBorders>
              <w:top w:val="nil"/>
              <w:left w:val="single" w:color="auto" w:sz="4" w:space="0"/>
              <w:bottom w:val="single" w:color="auto" w:sz="4" w:space="0"/>
              <w:right w:val="single" w:color="auto" w:sz="4" w:space="0"/>
            </w:tcBorders>
            <w:vAlign w:val="center"/>
          </w:tcPr>
          <w:p w14:paraId="1199CC48">
            <w:pPr>
              <w:widowControl/>
              <w:wordWrap w:val="0"/>
              <w:spacing w:line="240" w:lineRule="exact"/>
              <w:jc w:val="center"/>
              <w:rPr>
                <w:rFonts w:hint="eastAsia" w:ascii="宋体" w:hAnsi="宋体" w:cs="宋体"/>
                <w:b/>
                <w:bCs/>
                <w:color w:val="000000"/>
                <w:kern w:val="0"/>
                <w:sz w:val="18"/>
                <w:szCs w:val="18"/>
              </w:rPr>
            </w:pPr>
            <w:r>
              <w:rPr>
                <w:rFonts w:hint="eastAsia" w:ascii="宋体" w:hAnsi="宋体" w:cs="宋体"/>
                <w:b/>
                <w:bCs/>
                <w:color w:val="000000"/>
                <w:kern w:val="0"/>
                <w:sz w:val="18"/>
                <w:szCs w:val="18"/>
              </w:rPr>
              <w:t>售后服务S</w:t>
            </w:r>
          </w:p>
        </w:tc>
        <w:tc>
          <w:tcPr>
            <w:tcW w:w="820" w:type="pct"/>
            <w:tcBorders>
              <w:top w:val="nil"/>
              <w:left w:val="nil"/>
              <w:bottom w:val="single" w:color="auto" w:sz="4" w:space="0"/>
              <w:right w:val="single" w:color="auto" w:sz="4" w:space="0"/>
            </w:tcBorders>
            <w:vAlign w:val="center"/>
          </w:tcPr>
          <w:p w14:paraId="543E9822">
            <w:pPr>
              <w:widowControl/>
              <w:wordWrap w:val="0"/>
              <w:spacing w:line="240" w:lineRule="exact"/>
              <w:jc w:val="center"/>
              <w:rPr>
                <w:rFonts w:hint="eastAsia" w:ascii="宋体" w:hAnsi="宋体" w:cs="宋体"/>
                <w:b/>
                <w:bCs/>
                <w:color w:val="000000"/>
                <w:kern w:val="0"/>
                <w:sz w:val="18"/>
                <w:szCs w:val="18"/>
              </w:rPr>
            </w:pPr>
            <w:r>
              <w:rPr>
                <w:rFonts w:hint="eastAsia" w:ascii="宋体" w:hAnsi="宋体" w:cs="宋体"/>
                <w:b/>
                <w:bCs/>
                <w:color w:val="000000"/>
                <w:kern w:val="0"/>
                <w:sz w:val="18"/>
                <w:szCs w:val="18"/>
              </w:rPr>
              <w:t>售后服务配套方式及半径</w:t>
            </w:r>
          </w:p>
        </w:tc>
        <w:tc>
          <w:tcPr>
            <w:tcW w:w="325" w:type="pct"/>
            <w:tcBorders>
              <w:top w:val="nil"/>
              <w:left w:val="nil"/>
              <w:bottom w:val="single" w:color="auto" w:sz="4" w:space="0"/>
              <w:right w:val="single" w:color="auto" w:sz="4" w:space="0"/>
            </w:tcBorders>
            <w:vAlign w:val="center"/>
          </w:tcPr>
          <w:p w14:paraId="005F301D">
            <w:pPr>
              <w:widowControl/>
              <w:wordWrap w:val="0"/>
              <w:spacing w:line="240" w:lineRule="exact"/>
              <w:jc w:val="center"/>
              <w:rPr>
                <w:rFonts w:hint="eastAsia" w:ascii="宋体" w:hAnsi="宋体" w:cs="宋体"/>
                <w:b/>
                <w:bCs/>
                <w:color w:val="000000"/>
                <w:kern w:val="0"/>
                <w:sz w:val="18"/>
                <w:szCs w:val="18"/>
              </w:rPr>
            </w:pPr>
            <w:r>
              <w:rPr>
                <w:rFonts w:hint="eastAsia" w:ascii="宋体" w:hAnsi="宋体" w:cs="宋体"/>
                <w:b/>
                <w:bCs/>
                <w:color w:val="000000"/>
                <w:kern w:val="0"/>
                <w:sz w:val="18"/>
                <w:szCs w:val="18"/>
              </w:rPr>
              <w:t>★</w:t>
            </w:r>
          </w:p>
        </w:tc>
        <w:tc>
          <w:tcPr>
            <w:tcW w:w="2675" w:type="pct"/>
            <w:tcBorders>
              <w:top w:val="nil"/>
              <w:left w:val="nil"/>
              <w:bottom w:val="single" w:color="auto" w:sz="4" w:space="0"/>
              <w:right w:val="single" w:color="auto" w:sz="4" w:space="0"/>
            </w:tcBorders>
            <w:vAlign w:val="center"/>
          </w:tcPr>
          <w:p w14:paraId="52000CFA">
            <w:pPr>
              <w:widowControl/>
              <w:wordWrap w:val="0"/>
              <w:spacing w:line="240" w:lineRule="exact"/>
              <w:jc w:val="left"/>
              <w:rPr>
                <w:rFonts w:hint="eastAsia" w:ascii="宋体" w:hAnsi="宋体" w:cs="宋体"/>
                <w:b/>
                <w:bCs/>
                <w:color w:val="000000"/>
                <w:kern w:val="0"/>
                <w:sz w:val="18"/>
                <w:szCs w:val="18"/>
              </w:rPr>
            </w:pPr>
            <w:r>
              <w:rPr>
                <w:rFonts w:hint="eastAsia" w:ascii="宋体" w:hAnsi="宋体" w:cs="宋体"/>
                <w:b/>
                <w:bCs/>
                <w:color w:val="000000"/>
                <w:kern w:val="0"/>
                <w:sz w:val="18"/>
                <w:szCs w:val="18"/>
              </w:rPr>
              <w:t>1、使用的常规服务方式</w:t>
            </w:r>
            <w:bookmarkStart w:id="23" w:name="OLE_LINK78"/>
            <w:r>
              <w:rPr>
                <w:rFonts w:hint="eastAsia" w:ascii="宋体" w:hAnsi="宋体" w:cs="宋体"/>
                <w:b/>
                <w:bCs/>
                <w:color w:val="0000FF"/>
                <w:kern w:val="0"/>
                <w:sz w:val="18"/>
                <w:szCs w:val="18"/>
              </w:rPr>
              <w:t>【如驻点、委托主机厂、公路、铁路、水路、航空等】</w:t>
            </w:r>
            <w:bookmarkEnd w:id="23"/>
            <w:r>
              <w:rPr>
                <w:rFonts w:hint="eastAsia" w:ascii="宋体" w:hAnsi="宋体" w:cs="宋体"/>
                <w:b/>
                <w:bCs/>
                <w:color w:val="000000"/>
                <w:kern w:val="0"/>
                <w:sz w:val="18"/>
                <w:szCs w:val="18"/>
              </w:rPr>
              <w:t>；</w:t>
            </w:r>
          </w:p>
          <w:p w14:paraId="59FC87B6">
            <w:pPr>
              <w:widowControl/>
              <w:wordWrap w:val="0"/>
              <w:spacing w:line="240" w:lineRule="exact"/>
              <w:jc w:val="left"/>
              <w:rPr>
                <w:rFonts w:hint="eastAsia" w:ascii="宋体" w:hAnsi="宋体" w:cs="宋体"/>
                <w:b/>
                <w:bCs/>
                <w:color w:val="000000"/>
                <w:kern w:val="0"/>
                <w:sz w:val="18"/>
                <w:szCs w:val="18"/>
              </w:rPr>
            </w:pPr>
            <w:r>
              <w:rPr>
                <w:rFonts w:hint="eastAsia" w:ascii="宋体" w:hAnsi="宋体" w:cs="宋体"/>
                <w:b/>
                <w:bCs/>
                <w:color w:val="000000"/>
                <w:kern w:val="0"/>
                <w:sz w:val="18"/>
                <w:szCs w:val="18"/>
              </w:rPr>
              <w:t>2、实际售后服务点或仓库发货地距需求主机厂的距离；</w:t>
            </w:r>
          </w:p>
        </w:tc>
        <w:tc>
          <w:tcPr>
            <w:tcW w:w="605" w:type="pct"/>
            <w:vMerge w:val="restart"/>
            <w:tcBorders>
              <w:top w:val="nil"/>
              <w:left w:val="single" w:color="auto" w:sz="4" w:space="0"/>
              <w:bottom w:val="single" w:color="auto" w:sz="4" w:space="0"/>
              <w:right w:val="single" w:color="auto" w:sz="4" w:space="0"/>
            </w:tcBorders>
            <w:vAlign w:val="center"/>
          </w:tcPr>
          <w:p w14:paraId="47EF24F6">
            <w:pPr>
              <w:widowControl/>
              <w:wordWrap w:val="0"/>
              <w:spacing w:line="240" w:lineRule="exact"/>
              <w:jc w:val="center"/>
              <w:rPr>
                <w:rFonts w:hint="eastAsia" w:ascii="宋体" w:hAnsi="宋体" w:cs="宋体"/>
                <w:color w:val="000000"/>
                <w:kern w:val="0"/>
                <w:sz w:val="18"/>
                <w:szCs w:val="18"/>
              </w:rPr>
            </w:pPr>
            <w:r>
              <w:rPr>
                <w:rFonts w:hint="eastAsia" w:ascii="宋体" w:hAnsi="宋体" w:cs="宋体"/>
                <w:b/>
                <w:bCs/>
                <w:color w:val="FF0000"/>
                <w:kern w:val="0"/>
                <w:sz w:val="18"/>
                <w:szCs w:val="18"/>
              </w:rPr>
              <w:t>由售后部门制定和补充评审内容/供应商资料提供说明/评分标准/评审方法（按项目及实际情况分档或者其他评分评审方式）</w:t>
            </w:r>
          </w:p>
        </w:tc>
      </w:tr>
      <w:tr w14:paraId="1054EAD1">
        <w:tblPrEx>
          <w:tblCellMar>
            <w:top w:w="0" w:type="dxa"/>
            <w:left w:w="108" w:type="dxa"/>
            <w:bottom w:w="0" w:type="dxa"/>
            <w:right w:w="108" w:type="dxa"/>
          </w:tblCellMar>
        </w:tblPrEx>
        <w:trPr>
          <w:trHeight w:val="20" w:hRule="atLeast"/>
        </w:trPr>
        <w:tc>
          <w:tcPr>
            <w:tcW w:w="161" w:type="pct"/>
            <w:vMerge w:val="continue"/>
            <w:tcBorders>
              <w:top w:val="nil"/>
              <w:left w:val="single" w:color="auto" w:sz="4" w:space="0"/>
              <w:bottom w:val="single" w:color="auto" w:sz="4" w:space="0"/>
              <w:right w:val="single" w:color="auto" w:sz="4" w:space="0"/>
            </w:tcBorders>
            <w:vAlign w:val="center"/>
          </w:tcPr>
          <w:p w14:paraId="431E10FC">
            <w:pPr>
              <w:widowControl/>
              <w:wordWrap w:val="0"/>
              <w:spacing w:line="240" w:lineRule="exact"/>
              <w:jc w:val="left"/>
              <w:rPr>
                <w:rFonts w:hint="eastAsia" w:ascii="宋体" w:hAnsi="宋体" w:cs="宋体"/>
                <w:b/>
                <w:bCs/>
                <w:color w:val="000000"/>
                <w:kern w:val="0"/>
                <w:sz w:val="18"/>
                <w:szCs w:val="18"/>
              </w:rPr>
            </w:pPr>
          </w:p>
        </w:tc>
        <w:tc>
          <w:tcPr>
            <w:tcW w:w="412" w:type="pct"/>
            <w:vMerge w:val="continue"/>
            <w:tcBorders>
              <w:top w:val="nil"/>
              <w:left w:val="single" w:color="auto" w:sz="4" w:space="0"/>
              <w:bottom w:val="single" w:color="auto" w:sz="4" w:space="0"/>
              <w:right w:val="single" w:color="auto" w:sz="4" w:space="0"/>
            </w:tcBorders>
            <w:vAlign w:val="center"/>
          </w:tcPr>
          <w:p w14:paraId="737E6A29">
            <w:pPr>
              <w:widowControl/>
              <w:wordWrap w:val="0"/>
              <w:spacing w:line="240" w:lineRule="exact"/>
              <w:jc w:val="left"/>
              <w:rPr>
                <w:rFonts w:hint="eastAsia" w:ascii="宋体" w:hAnsi="宋体" w:cs="宋体"/>
                <w:b/>
                <w:bCs/>
                <w:color w:val="000000"/>
                <w:kern w:val="0"/>
                <w:sz w:val="18"/>
                <w:szCs w:val="18"/>
              </w:rPr>
            </w:pPr>
          </w:p>
        </w:tc>
        <w:tc>
          <w:tcPr>
            <w:tcW w:w="820" w:type="pct"/>
            <w:tcBorders>
              <w:top w:val="nil"/>
              <w:left w:val="nil"/>
              <w:bottom w:val="single" w:color="auto" w:sz="4" w:space="0"/>
              <w:right w:val="single" w:color="auto" w:sz="4" w:space="0"/>
            </w:tcBorders>
            <w:vAlign w:val="center"/>
          </w:tcPr>
          <w:p w14:paraId="53BBA632">
            <w:pPr>
              <w:widowControl/>
              <w:wordWrap w:val="0"/>
              <w:spacing w:line="240" w:lineRule="exact"/>
              <w:jc w:val="center"/>
              <w:rPr>
                <w:rFonts w:hint="eastAsia" w:ascii="宋体" w:hAnsi="宋体" w:cs="宋体"/>
                <w:b/>
                <w:bCs/>
                <w:color w:val="000000"/>
                <w:kern w:val="0"/>
                <w:sz w:val="18"/>
                <w:szCs w:val="18"/>
              </w:rPr>
            </w:pPr>
            <w:r>
              <w:rPr>
                <w:rFonts w:hint="eastAsia" w:ascii="宋体" w:hAnsi="宋体" w:cs="宋体"/>
                <w:b/>
                <w:bCs/>
                <w:color w:val="000000"/>
                <w:kern w:val="0"/>
                <w:sz w:val="18"/>
                <w:szCs w:val="18"/>
              </w:rPr>
              <w:t>售后服务网络建设&amp;人员&amp;硬件</w:t>
            </w:r>
          </w:p>
        </w:tc>
        <w:tc>
          <w:tcPr>
            <w:tcW w:w="325" w:type="pct"/>
            <w:tcBorders>
              <w:top w:val="nil"/>
              <w:left w:val="nil"/>
              <w:bottom w:val="single" w:color="auto" w:sz="4" w:space="0"/>
              <w:right w:val="single" w:color="auto" w:sz="4" w:space="0"/>
            </w:tcBorders>
            <w:vAlign w:val="center"/>
          </w:tcPr>
          <w:p w14:paraId="60E3BD61">
            <w:pPr>
              <w:widowControl/>
              <w:wordWrap w:val="0"/>
              <w:spacing w:line="240" w:lineRule="exact"/>
              <w:jc w:val="center"/>
              <w:rPr>
                <w:rFonts w:hint="eastAsia" w:ascii="宋体" w:hAnsi="宋体" w:cs="宋体"/>
                <w:b/>
                <w:bCs/>
                <w:color w:val="000000"/>
                <w:kern w:val="0"/>
                <w:sz w:val="18"/>
                <w:szCs w:val="18"/>
              </w:rPr>
            </w:pPr>
            <w:r>
              <w:rPr>
                <w:rFonts w:hint="eastAsia" w:ascii="宋体" w:hAnsi="宋体" w:cs="宋体"/>
                <w:b/>
                <w:bCs/>
                <w:color w:val="000000"/>
                <w:kern w:val="0"/>
                <w:sz w:val="18"/>
                <w:szCs w:val="18"/>
              </w:rPr>
              <w:t>★</w:t>
            </w:r>
          </w:p>
        </w:tc>
        <w:tc>
          <w:tcPr>
            <w:tcW w:w="2675" w:type="pct"/>
            <w:tcBorders>
              <w:top w:val="nil"/>
              <w:left w:val="nil"/>
              <w:bottom w:val="single" w:color="auto" w:sz="4" w:space="0"/>
              <w:right w:val="single" w:color="auto" w:sz="4" w:space="0"/>
            </w:tcBorders>
            <w:vAlign w:val="center"/>
          </w:tcPr>
          <w:p w14:paraId="41459ED1">
            <w:pPr>
              <w:widowControl/>
              <w:wordWrap w:val="0"/>
              <w:spacing w:line="240" w:lineRule="exact"/>
              <w:jc w:val="left"/>
              <w:rPr>
                <w:rFonts w:hint="eastAsia" w:ascii="宋体" w:hAnsi="宋体" w:cs="宋体"/>
                <w:b/>
                <w:bCs/>
                <w:color w:val="0000FF"/>
                <w:kern w:val="0"/>
                <w:sz w:val="18"/>
                <w:szCs w:val="18"/>
              </w:rPr>
            </w:pPr>
            <w:r>
              <w:rPr>
                <w:rFonts w:hint="eastAsia" w:ascii="宋体" w:hAnsi="宋体" w:cs="宋体"/>
                <w:b/>
                <w:bCs/>
                <w:color w:val="000000"/>
                <w:kern w:val="0"/>
                <w:sz w:val="18"/>
                <w:szCs w:val="18"/>
              </w:rPr>
              <w:t>1、提供售后服务场地&amp;库房面积</w:t>
            </w:r>
            <w:r>
              <w:rPr>
                <w:rFonts w:hint="eastAsia" w:ascii="宋体" w:hAnsi="宋体" w:cs="宋体"/>
                <w:b/>
                <w:bCs/>
                <w:color w:val="0000FF"/>
                <w:kern w:val="0"/>
                <w:sz w:val="18"/>
                <w:szCs w:val="18"/>
              </w:rPr>
              <w:t>（附现场照片及仓储&amp;售后服务点自有或租赁合同）；</w:t>
            </w:r>
          </w:p>
          <w:p w14:paraId="26EA9331">
            <w:pPr>
              <w:widowControl/>
              <w:wordWrap w:val="0"/>
              <w:spacing w:line="240" w:lineRule="exact"/>
              <w:jc w:val="left"/>
              <w:rPr>
                <w:rFonts w:hint="eastAsia" w:ascii="宋体" w:hAnsi="宋体" w:cs="宋体"/>
                <w:b/>
                <w:bCs/>
                <w:color w:val="000000"/>
                <w:kern w:val="0"/>
                <w:sz w:val="18"/>
                <w:szCs w:val="18"/>
              </w:rPr>
            </w:pPr>
            <w:r>
              <w:rPr>
                <w:rFonts w:ascii="宋体" w:hAnsi="宋体" w:cs="宋体"/>
                <w:b/>
                <w:bCs/>
                <w:color w:val="000000"/>
                <w:kern w:val="0"/>
                <w:sz w:val="18"/>
                <w:szCs w:val="18"/>
              </w:rPr>
              <w:t>2</w:t>
            </w:r>
            <w:r>
              <w:rPr>
                <w:rFonts w:hint="eastAsia" w:ascii="宋体" w:hAnsi="宋体" w:cs="宋体"/>
                <w:b/>
                <w:bCs/>
                <w:color w:val="000000"/>
                <w:kern w:val="0"/>
                <w:sz w:val="18"/>
                <w:szCs w:val="18"/>
              </w:rPr>
              <w:t>、售后人员配备情况</w:t>
            </w:r>
            <w:bookmarkStart w:id="24" w:name="OLE_LINK79"/>
            <w:r>
              <w:rPr>
                <w:rFonts w:hint="eastAsia" w:ascii="宋体" w:hAnsi="宋体" w:cs="宋体"/>
                <w:b/>
                <w:bCs/>
                <w:color w:val="0000FF"/>
                <w:kern w:val="0"/>
                <w:sz w:val="18"/>
                <w:szCs w:val="18"/>
              </w:rPr>
              <w:t>【包含但不限于姓名、性别、职位、相关专业、相关专业年限、职称证明等】</w:t>
            </w:r>
            <w:bookmarkEnd w:id="24"/>
            <w:r>
              <w:rPr>
                <w:rFonts w:hint="eastAsia" w:ascii="宋体" w:hAnsi="宋体" w:cs="宋体"/>
                <w:b/>
                <w:bCs/>
                <w:color w:val="0000FF"/>
                <w:kern w:val="0"/>
                <w:sz w:val="18"/>
                <w:szCs w:val="18"/>
              </w:rPr>
              <w:t>；</w:t>
            </w:r>
          </w:p>
          <w:p w14:paraId="782500E1">
            <w:pPr>
              <w:widowControl/>
              <w:wordWrap w:val="0"/>
              <w:spacing w:line="240" w:lineRule="exact"/>
              <w:jc w:val="left"/>
              <w:rPr>
                <w:rFonts w:hint="eastAsia" w:ascii="宋体" w:hAnsi="宋体" w:cs="宋体"/>
                <w:b/>
                <w:bCs/>
                <w:color w:val="000000"/>
                <w:kern w:val="0"/>
                <w:sz w:val="18"/>
                <w:szCs w:val="18"/>
              </w:rPr>
            </w:pPr>
            <w:r>
              <w:rPr>
                <w:rFonts w:hint="eastAsia" w:ascii="宋体" w:hAnsi="宋体" w:cs="宋体"/>
                <w:b/>
                <w:bCs/>
                <w:color w:val="000000"/>
                <w:kern w:val="0"/>
                <w:sz w:val="18"/>
                <w:szCs w:val="18"/>
              </w:rPr>
              <w:t>3、硬件&amp;工具等配套清单</w:t>
            </w:r>
            <w:bookmarkStart w:id="25" w:name="OLE_LINK80"/>
            <w:r>
              <w:rPr>
                <w:rFonts w:hint="eastAsia" w:ascii="宋体" w:hAnsi="宋体" w:cs="宋体"/>
                <w:b/>
                <w:bCs/>
                <w:color w:val="0000FF"/>
                <w:kern w:val="0"/>
                <w:sz w:val="18"/>
                <w:szCs w:val="18"/>
              </w:rPr>
              <w:t>【包含但不限于名称、型号、数量等】</w:t>
            </w:r>
            <w:bookmarkEnd w:id="25"/>
            <w:r>
              <w:rPr>
                <w:rFonts w:hint="eastAsia" w:ascii="宋体" w:hAnsi="宋体" w:cs="宋体"/>
                <w:b/>
                <w:bCs/>
                <w:color w:val="000000"/>
                <w:kern w:val="0"/>
                <w:sz w:val="18"/>
                <w:szCs w:val="18"/>
              </w:rPr>
              <w:t>；</w:t>
            </w:r>
          </w:p>
        </w:tc>
        <w:tc>
          <w:tcPr>
            <w:tcW w:w="605" w:type="pct"/>
            <w:vMerge w:val="continue"/>
            <w:tcBorders>
              <w:top w:val="nil"/>
              <w:left w:val="single" w:color="auto" w:sz="4" w:space="0"/>
              <w:bottom w:val="single" w:color="auto" w:sz="4" w:space="0"/>
              <w:right w:val="single" w:color="auto" w:sz="4" w:space="0"/>
            </w:tcBorders>
            <w:vAlign w:val="center"/>
          </w:tcPr>
          <w:p w14:paraId="3E9FB7A4">
            <w:pPr>
              <w:widowControl/>
              <w:wordWrap w:val="0"/>
              <w:spacing w:line="240" w:lineRule="exact"/>
              <w:jc w:val="left"/>
              <w:rPr>
                <w:rFonts w:hint="eastAsia" w:ascii="宋体" w:hAnsi="宋体" w:cs="宋体"/>
                <w:color w:val="000000"/>
                <w:kern w:val="0"/>
                <w:sz w:val="18"/>
                <w:szCs w:val="18"/>
              </w:rPr>
            </w:pPr>
          </w:p>
        </w:tc>
      </w:tr>
      <w:tr w14:paraId="0D5C4A9E">
        <w:tblPrEx>
          <w:tblCellMar>
            <w:top w:w="0" w:type="dxa"/>
            <w:left w:w="108" w:type="dxa"/>
            <w:bottom w:w="0" w:type="dxa"/>
            <w:right w:w="108" w:type="dxa"/>
          </w:tblCellMar>
        </w:tblPrEx>
        <w:trPr>
          <w:trHeight w:val="20" w:hRule="atLeast"/>
        </w:trPr>
        <w:tc>
          <w:tcPr>
            <w:tcW w:w="161" w:type="pct"/>
            <w:vMerge w:val="continue"/>
            <w:tcBorders>
              <w:top w:val="nil"/>
              <w:left w:val="single" w:color="auto" w:sz="4" w:space="0"/>
              <w:bottom w:val="single" w:color="auto" w:sz="4" w:space="0"/>
              <w:right w:val="single" w:color="auto" w:sz="4" w:space="0"/>
            </w:tcBorders>
            <w:vAlign w:val="center"/>
          </w:tcPr>
          <w:p w14:paraId="24C11E68">
            <w:pPr>
              <w:widowControl/>
              <w:wordWrap w:val="0"/>
              <w:spacing w:line="240" w:lineRule="exact"/>
              <w:jc w:val="left"/>
              <w:rPr>
                <w:rFonts w:hint="eastAsia" w:ascii="宋体" w:hAnsi="宋体" w:cs="宋体"/>
                <w:b/>
                <w:bCs/>
                <w:color w:val="000000"/>
                <w:kern w:val="0"/>
                <w:sz w:val="18"/>
                <w:szCs w:val="18"/>
              </w:rPr>
            </w:pPr>
          </w:p>
        </w:tc>
        <w:tc>
          <w:tcPr>
            <w:tcW w:w="412" w:type="pct"/>
            <w:vMerge w:val="continue"/>
            <w:tcBorders>
              <w:top w:val="nil"/>
              <w:left w:val="single" w:color="auto" w:sz="4" w:space="0"/>
              <w:bottom w:val="single" w:color="auto" w:sz="4" w:space="0"/>
              <w:right w:val="single" w:color="auto" w:sz="4" w:space="0"/>
            </w:tcBorders>
            <w:vAlign w:val="center"/>
          </w:tcPr>
          <w:p w14:paraId="1FB84464">
            <w:pPr>
              <w:widowControl/>
              <w:wordWrap w:val="0"/>
              <w:spacing w:line="240" w:lineRule="exact"/>
              <w:jc w:val="left"/>
              <w:rPr>
                <w:rFonts w:hint="eastAsia" w:ascii="宋体" w:hAnsi="宋体" w:cs="宋体"/>
                <w:b/>
                <w:bCs/>
                <w:color w:val="000000"/>
                <w:kern w:val="0"/>
                <w:sz w:val="18"/>
                <w:szCs w:val="18"/>
              </w:rPr>
            </w:pPr>
          </w:p>
        </w:tc>
        <w:tc>
          <w:tcPr>
            <w:tcW w:w="820" w:type="pct"/>
            <w:tcBorders>
              <w:top w:val="nil"/>
              <w:left w:val="nil"/>
              <w:bottom w:val="single" w:color="auto" w:sz="4" w:space="0"/>
              <w:right w:val="single" w:color="auto" w:sz="4" w:space="0"/>
            </w:tcBorders>
            <w:vAlign w:val="center"/>
          </w:tcPr>
          <w:p w14:paraId="7B24642D">
            <w:pPr>
              <w:widowControl/>
              <w:wordWrap w:val="0"/>
              <w:spacing w:line="240" w:lineRule="exact"/>
              <w:jc w:val="center"/>
              <w:rPr>
                <w:rFonts w:hint="eastAsia" w:ascii="宋体" w:hAnsi="宋体" w:cs="宋体"/>
                <w:b/>
                <w:bCs/>
                <w:color w:val="000000"/>
                <w:kern w:val="0"/>
                <w:sz w:val="18"/>
                <w:szCs w:val="18"/>
              </w:rPr>
            </w:pPr>
            <w:r>
              <w:rPr>
                <w:rFonts w:hint="eastAsia" w:ascii="宋体" w:hAnsi="宋体" w:cs="宋体"/>
                <w:b/>
                <w:bCs/>
                <w:color w:val="000000"/>
                <w:kern w:val="0"/>
                <w:sz w:val="18"/>
                <w:szCs w:val="18"/>
              </w:rPr>
              <w:t>售后配件交货期</w:t>
            </w:r>
          </w:p>
        </w:tc>
        <w:tc>
          <w:tcPr>
            <w:tcW w:w="325" w:type="pct"/>
            <w:tcBorders>
              <w:top w:val="nil"/>
              <w:left w:val="nil"/>
              <w:bottom w:val="single" w:color="auto" w:sz="4" w:space="0"/>
              <w:right w:val="single" w:color="auto" w:sz="4" w:space="0"/>
            </w:tcBorders>
            <w:vAlign w:val="center"/>
          </w:tcPr>
          <w:p w14:paraId="3E2406DD">
            <w:pPr>
              <w:widowControl/>
              <w:wordWrap w:val="0"/>
              <w:spacing w:line="240" w:lineRule="exact"/>
              <w:jc w:val="center"/>
              <w:rPr>
                <w:rFonts w:hint="eastAsia" w:ascii="宋体" w:hAnsi="宋体" w:cs="宋体"/>
                <w:b/>
                <w:bCs/>
                <w:color w:val="000000"/>
                <w:kern w:val="0"/>
                <w:sz w:val="18"/>
                <w:szCs w:val="18"/>
              </w:rPr>
            </w:pPr>
            <w:r>
              <w:rPr>
                <w:rFonts w:hint="eastAsia" w:ascii="宋体" w:hAnsi="宋体" w:cs="宋体"/>
                <w:b/>
                <w:bCs/>
                <w:color w:val="000000"/>
                <w:kern w:val="0"/>
                <w:sz w:val="18"/>
                <w:szCs w:val="18"/>
              </w:rPr>
              <w:t>★</w:t>
            </w:r>
          </w:p>
        </w:tc>
        <w:tc>
          <w:tcPr>
            <w:tcW w:w="2675" w:type="pct"/>
            <w:tcBorders>
              <w:top w:val="nil"/>
              <w:left w:val="nil"/>
              <w:bottom w:val="single" w:color="auto" w:sz="4" w:space="0"/>
              <w:right w:val="single" w:color="auto" w:sz="4" w:space="0"/>
            </w:tcBorders>
            <w:vAlign w:val="center"/>
          </w:tcPr>
          <w:p w14:paraId="07281126">
            <w:pPr>
              <w:widowControl/>
              <w:wordWrap w:val="0"/>
              <w:spacing w:line="240" w:lineRule="exact"/>
              <w:jc w:val="left"/>
              <w:rPr>
                <w:rFonts w:hint="eastAsia" w:ascii="宋体" w:hAnsi="宋体" w:cs="宋体"/>
                <w:b/>
                <w:bCs/>
                <w:color w:val="000000"/>
                <w:kern w:val="0"/>
                <w:sz w:val="18"/>
                <w:szCs w:val="18"/>
              </w:rPr>
            </w:pPr>
            <w:r>
              <w:rPr>
                <w:rFonts w:hint="eastAsia" w:ascii="宋体" w:hAnsi="宋体" w:cs="宋体"/>
                <w:b/>
                <w:bCs/>
                <w:color w:val="000000"/>
                <w:kern w:val="0"/>
                <w:sz w:val="18"/>
                <w:szCs w:val="18"/>
              </w:rPr>
              <w:t>自售后服务订单下达之日起</w:t>
            </w:r>
            <w:r>
              <w:rPr>
                <w:rFonts w:ascii="宋体" w:hAnsi="宋体" w:cs="宋体"/>
                <w:b/>
                <w:bCs/>
                <w:color w:val="FF0000"/>
                <w:kern w:val="0"/>
                <w:sz w:val="18"/>
                <w:szCs w:val="18"/>
              </w:rPr>
              <w:t>X</w:t>
            </w:r>
            <w:r>
              <w:rPr>
                <w:rFonts w:hint="eastAsia" w:ascii="宋体" w:hAnsi="宋体" w:cs="宋体"/>
                <w:b/>
                <w:bCs/>
                <w:color w:val="000000"/>
                <w:kern w:val="0"/>
                <w:sz w:val="18"/>
                <w:szCs w:val="18"/>
              </w:rPr>
              <w:t>日到货需求主机厂内（包含运输及休息日）的承诺函</w:t>
            </w:r>
            <w:bookmarkStart w:id="26" w:name="OLE_LINK81"/>
            <w:r>
              <w:rPr>
                <w:rFonts w:hint="eastAsia" w:ascii="宋体" w:hAnsi="宋体" w:cs="宋体"/>
                <w:b/>
                <w:bCs/>
                <w:color w:val="0000FF"/>
                <w:kern w:val="0"/>
                <w:sz w:val="18"/>
                <w:szCs w:val="18"/>
              </w:rPr>
              <w:t>【如</w:t>
            </w:r>
            <w:r>
              <w:rPr>
                <w:rFonts w:ascii="宋体" w:hAnsi="宋体" w:cs="宋体"/>
                <w:b/>
                <w:bCs/>
                <w:color w:val="0000FF"/>
                <w:kern w:val="0"/>
                <w:sz w:val="18"/>
                <w:szCs w:val="18"/>
              </w:rPr>
              <w:t>2</w:t>
            </w:r>
            <w:r>
              <w:rPr>
                <w:rFonts w:hint="eastAsia" w:ascii="宋体" w:hAnsi="宋体" w:cs="宋体"/>
                <w:b/>
                <w:bCs/>
                <w:color w:val="0000FF"/>
                <w:kern w:val="0"/>
                <w:sz w:val="18"/>
                <w:szCs w:val="18"/>
              </w:rPr>
              <w:t>日/3日/5日/7日</w:t>
            </w:r>
            <w:r>
              <w:rPr>
                <w:rFonts w:ascii="宋体" w:hAnsi="宋体" w:cs="宋体"/>
                <w:b/>
                <w:bCs/>
                <w:color w:val="0000FF"/>
                <w:kern w:val="0"/>
                <w:sz w:val="18"/>
                <w:szCs w:val="18"/>
              </w:rPr>
              <w:t>……</w:t>
            </w:r>
            <w:r>
              <w:rPr>
                <w:rFonts w:hint="eastAsia" w:ascii="宋体" w:hAnsi="宋体" w:cs="宋体"/>
                <w:b/>
                <w:bCs/>
                <w:color w:val="0000FF"/>
                <w:kern w:val="0"/>
                <w:sz w:val="18"/>
                <w:szCs w:val="18"/>
              </w:rPr>
              <w:t>】</w:t>
            </w:r>
            <w:bookmarkEnd w:id="26"/>
            <w:r>
              <w:rPr>
                <w:rFonts w:hint="eastAsia" w:ascii="宋体" w:hAnsi="宋体" w:cs="宋体"/>
                <w:b/>
                <w:bCs/>
                <w:color w:val="000000"/>
                <w:kern w:val="0"/>
                <w:sz w:val="18"/>
                <w:szCs w:val="18"/>
              </w:rPr>
              <w:t>；</w:t>
            </w:r>
          </w:p>
        </w:tc>
        <w:tc>
          <w:tcPr>
            <w:tcW w:w="605" w:type="pct"/>
            <w:vMerge w:val="continue"/>
            <w:tcBorders>
              <w:top w:val="nil"/>
              <w:left w:val="single" w:color="auto" w:sz="4" w:space="0"/>
              <w:bottom w:val="single" w:color="auto" w:sz="4" w:space="0"/>
              <w:right w:val="single" w:color="auto" w:sz="4" w:space="0"/>
            </w:tcBorders>
            <w:vAlign w:val="center"/>
          </w:tcPr>
          <w:p w14:paraId="27268F83">
            <w:pPr>
              <w:widowControl/>
              <w:wordWrap w:val="0"/>
              <w:spacing w:line="240" w:lineRule="exact"/>
              <w:jc w:val="left"/>
              <w:rPr>
                <w:rFonts w:hint="eastAsia" w:ascii="宋体" w:hAnsi="宋体" w:cs="宋体"/>
                <w:color w:val="000000"/>
                <w:kern w:val="0"/>
                <w:sz w:val="18"/>
                <w:szCs w:val="18"/>
              </w:rPr>
            </w:pPr>
          </w:p>
        </w:tc>
      </w:tr>
      <w:tr w14:paraId="26544D43">
        <w:tblPrEx>
          <w:tblCellMar>
            <w:top w:w="0" w:type="dxa"/>
            <w:left w:w="108" w:type="dxa"/>
            <w:bottom w:w="0" w:type="dxa"/>
            <w:right w:w="108" w:type="dxa"/>
          </w:tblCellMar>
        </w:tblPrEx>
        <w:trPr>
          <w:trHeight w:val="20" w:hRule="atLeast"/>
        </w:trPr>
        <w:tc>
          <w:tcPr>
            <w:tcW w:w="161" w:type="pct"/>
            <w:vMerge w:val="continue"/>
            <w:tcBorders>
              <w:top w:val="nil"/>
              <w:left w:val="single" w:color="auto" w:sz="4" w:space="0"/>
              <w:bottom w:val="single" w:color="auto" w:sz="4" w:space="0"/>
              <w:right w:val="single" w:color="auto" w:sz="4" w:space="0"/>
            </w:tcBorders>
            <w:vAlign w:val="center"/>
          </w:tcPr>
          <w:p w14:paraId="28A74174">
            <w:pPr>
              <w:widowControl/>
              <w:wordWrap w:val="0"/>
              <w:spacing w:line="240" w:lineRule="exact"/>
              <w:jc w:val="left"/>
              <w:rPr>
                <w:rFonts w:hint="eastAsia" w:ascii="宋体" w:hAnsi="宋体" w:cs="宋体"/>
                <w:b/>
                <w:bCs/>
                <w:color w:val="000000"/>
                <w:kern w:val="0"/>
                <w:sz w:val="18"/>
                <w:szCs w:val="18"/>
              </w:rPr>
            </w:pPr>
          </w:p>
        </w:tc>
        <w:tc>
          <w:tcPr>
            <w:tcW w:w="412" w:type="pct"/>
            <w:vMerge w:val="continue"/>
            <w:tcBorders>
              <w:top w:val="nil"/>
              <w:left w:val="single" w:color="auto" w:sz="4" w:space="0"/>
              <w:bottom w:val="single" w:color="auto" w:sz="4" w:space="0"/>
              <w:right w:val="single" w:color="auto" w:sz="4" w:space="0"/>
            </w:tcBorders>
            <w:vAlign w:val="center"/>
          </w:tcPr>
          <w:p w14:paraId="3386BF81">
            <w:pPr>
              <w:widowControl/>
              <w:wordWrap w:val="0"/>
              <w:spacing w:line="240" w:lineRule="exact"/>
              <w:jc w:val="left"/>
              <w:rPr>
                <w:rFonts w:hint="eastAsia" w:ascii="宋体" w:hAnsi="宋体" w:cs="宋体"/>
                <w:b/>
                <w:bCs/>
                <w:color w:val="000000"/>
                <w:kern w:val="0"/>
                <w:sz w:val="18"/>
                <w:szCs w:val="18"/>
              </w:rPr>
            </w:pPr>
          </w:p>
        </w:tc>
        <w:tc>
          <w:tcPr>
            <w:tcW w:w="820" w:type="pct"/>
            <w:tcBorders>
              <w:top w:val="nil"/>
              <w:left w:val="nil"/>
              <w:bottom w:val="single" w:color="auto" w:sz="4" w:space="0"/>
              <w:right w:val="single" w:color="auto" w:sz="4" w:space="0"/>
            </w:tcBorders>
            <w:vAlign w:val="center"/>
          </w:tcPr>
          <w:p w14:paraId="536D92D3">
            <w:pPr>
              <w:widowControl/>
              <w:wordWrap w:val="0"/>
              <w:spacing w:line="240" w:lineRule="exact"/>
              <w:jc w:val="center"/>
              <w:rPr>
                <w:rFonts w:hint="eastAsia" w:ascii="宋体" w:hAnsi="宋体" w:cs="宋体"/>
                <w:b/>
                <w:bCs/>
                <w:color w:val="000000"/>
                <w:kern w:val="0"/>
                <w:sz w:val="18"/>
                <w:szCs w:val="18"/>
              </w:rPr>
            </w:pPr>
            <w:r>
              <w:rPr>
                <w:rFonts w:hint="eastAsia" w:ascii="宋体" w:hAnsi="宋体" w:cs="宋体"/>
                <w:b/>
                <w:bCs/>
                <w:color w:val="000000"/>
                <w:kern w:val="0"/>
                <w:sz w:val="18"/>
                <w:szCs w:val="18"/>
              </w:rPr>
              <w:t>售后配件数量交付率/售后服务项目交付率</w:t>
            </w:r>
          </w:p>
        </w:tc>
        <w:tc>
          <w:tcPr>
            <w:tcW w:w="325" w:type="pct"/>
            <w:tcBorders>
              <w:top w:val="nil"/>
              <w:left w:val="nil"/>
              <w:bottom w:val="single" w:color="auto" w:sz="4" w:space="0"/>
              <w:right w:val="single" w:color="auto" w:sz="4" w:space="0"/>
            </w:tcBorders>
            <w:vAlign w:val="center"/>
          </w:tcPr>
          <w:p w14:paraId="2DA69620">
            <w:pPr>
              <w:widowControl/>
              <w:wordWrap w:val="0"/>
              <w:spacing w:line="240" w:lineRule="exact"/>
              <w:jc w:val="center"/>
              <w:rPr>
                <w:rFonts w:hint="eastAsia" w:ascii="宋体" w:hAnsi="宋体" w:cs="宋体"/>
                <w:b/>
                <w:bCs/>
                <w:color w:val="000000"/>
                <w:kern w:val="0"/>
                <w:sz w:val="18"/>
                <w:szCs w:val="18"/>
              </w:rPr>
            </w:pPr>
            <w:r>
              <w:rPr>
                <w:rFonts w:hint="eastAsia" w:ascii="宋体" w:hAnsi="宋体" w:cs="宋体"/>
                <w:b/>
                <w:bCs/>
                <w:color w:val="000000"/>
                <w:kern w:val="0"/>
                <w:sz w:val="18"/>
                <w:szCs w:val="18"/>
              </w:rPr>
              <w:t>★</w:t>
            </w:r>
          </w:p>
        </w:tc>
        <w:tc>
          <w:tcPr>
            <w:tcW w:w="2675" w:type="pct"/>
            <w:tcBorders>
              <w:top w:val="nil"/>
              <w:left w:val="nil"/>
              <w:bottom w:val="single" w:color="auto" w:sz="4" w:space="0"/>
              <w:right w:val="single" w:color="auto" w:sz="4" w:space="0"/>
            </w:tcBorders>
            <w:vAlign w:val="center"/>
          </w:tcPr>
          <w:p w14:paraId="6ADA0B8F">
            <w:pPr>
              <w:widowControl/>
              <w:wordWrap w:val="0"/>
              <w:spacing w:line="240" w:lineRule="exact"/>
              <w:jc w:val="left"/>
              <w:rPr>
                <w:rFonts w:hint="eastAsia" w:ascii="宋体" w:hAnsi="宋体" w:cs="宋体"/>
                <w:b/>
                <w:bCs/>
                <w:color w:val="000000"/>
                <w:kern w:val="0"/>
                <w:sz w:val="18"/>
                <w:szCs w:val="18"/>
              </w:rPr>
            </w:pPr>
            <w:r>
              <w:rPr>
                <w:rFonts w:hint="eastAsia" w:ascii="宋体" w:hAnsi="宋体" w:cs="宋体"/>
                <w:b/>
                <w:bCs/>
                <w:color w:val="000000"/>
                <w:kern w:val="0"/>
                <w:sz w:val="18"/>
                <w:szCs w:val="18"/>
              </w:rPr>
              <w:t>按期到货售后配件数量/售后服务项目配件与售后采购需求数量之比</w:t>
            </w:r>
            <w:bookmarkStart w:id="27" w:name="OLE_LINK82"/>
            <w:r>
              <w:rPr>
                <w:rFonts w:hint="eastAsia" w:ascii="宋体" w:hAnsi="宋体" w:cs="宋体"/>
                <w:b/>
                <w:bCs/>
                <w:color w:val="0000FF"/>
                <w:kern w:val="0"/>
                <w:sz w:val="18"/>
                <w:szCs w:val="18"/>
              </w:rPr>
              <w:t>【如100%/95%以上/90%以上/90%以下</w:t>
            </w:r>
            <w:r>
              <w:rPr>
                <w:rFonts w:ascii="宋体" w:hAnsi="宋体" w:cs="宋体"/>
                <w:b/>
                <w:bCs/>
                <w:color w:val="0000FF"/>
                <w:kern w:val="0"/>
                <w:sz w:val="18"/>
                <w:szCs w:val="18"/>
              </w:rPr>
              <w:t>……</w:t>
            </w:r>
            <w:r>
              <w:rPr>
                <w:rFonts w:hint="eastAsia" w:ascii="宋体" w:hAnsi="宋体" w:cs="宋体"/>
                <w:b/>
                <w:bCs/>
                <w:color w:val="0000FF"/>
                <w:kern w:val="0"/>
                <w:sz w:val="18"/>
                <w:szCs w:val="18"/>
              </w:rPr>
              <w:t>】</w:t>
            </w:r>
            <w:bookmarkEnd w:id="27"/>
            <w:r>
              <w:rPr>
                <w:rFonts w:hint="eastAsia" w:ascii="宋体" w:hAnsi="宋体" w:cs="宋体"/>
                <w:b/>
                <w:bCs/>
                <w:color w:val="000000"/>
                <w:kern w:val="0"/>
                <w:sz w:val="18"/>
                <w:szCs w:val="18"/>
              </w:rPr>
              <w:t>承诺函</w:t>
            </w:r>
          </w:p>
        </w:tc>
        <w:tc>
          <w:tcPr>
            <w:tcW w:w="605" w:type="pct"/>
            <w:vMerge w:val="continue"/>
            <w:tcBorders>
              <w:top w:val="nil"/>
              <w:left w:val="single" w:color="auto" w:sz="4" w:space="0"/>
              <w:bottom w:val="single" w:color="auto" w:sz="4" w:space="0"/>
              <w:right w:val="single" w:color="auto" w:sz="4" w:space="0"/>
            </w:tcBorders>
            <w:vAlign w:val="center"/>
          </w:tcPr>
          <w:p w14:paraId="49FA6728">
            <w:pPr>
              <w:widowControl/>
              <w:wordWrap w:val="0"/>
              <w:spacing w:line="240" w:lineRule="exact"/>
              <w:jc w:val="left"/>
              <w:rPr>
                <w:rFonts w:hint="eastAsia" w:ascii="宋体" w:hAnsi="宋体" w:cs="宋体"/>
                <w:color w:val="000000"/>
                <w:kern w:val="0"/>
                <w:sz w:val="18"/>
                <w:szCs w:val="18"/>
              </w:rPr>
            </w:pPr>
          </w:p>
        </w:tc>
      </w:tr>
      <w:tr w14:paraId="1A392F20">
        <w:tblPrEx>
          <w:tblCellMar>
            <w:top w:w="0" w:type="dxa"/>
            <w:left w:w="108" w:type="dxa"/>
            <w:bottom w:w="0" w:type="dxa"/>
            <w:right w:w="108" w:type="dxa"/>
          </w:tblCellMar>
        </w:tblPrEx>
        <w:trPr>
          <w:trHeight w:val="20" w:hRule="atLeast"/>
        </w:trPr>
        <w:tc>
          <w:tcPr>
            <w:tcW w:w="161" w:type="pct"/>
            <w:vMerge w:val="continue"/>
            <w:tcBorders>
              <w:top w:val="nil"/>
              <w:left w:val="single" w:color="auto" w:sz="4" w:space="0"/>
              <w:bottom w:val="single" w:color="auto" w:sz="4" w:space="0"/>
              <w:right w:val="single" w:color="auto" w:sz="4" w:space="0"/>
            </w:tcBorders>
            <w:vAlign w:val="center"/>
          </w:tcPr>
          <w:p w14:paraId="0B24D41E">
            <w:pPr>
              <w:widowControl/>
              <w:wordWrap w:val="0"/>
              <w:spacing w:line="240" w:lineRule="exact"/>
              <w:jc w:val="left"/>
              <w:rPr>
                <w:rFonts w:hint="eastAsia" w:ascii="宋体" w:hAnsi="宋体" w:cs="宋体"/>
                <w:b/>
                <w:bCs/>
                <w:color w:val="000000"/>
                <w:kern w:val="0"/>
                <w:sz w:val="18"/>
                <w:szCs w:val="18"/>
              </w:rPr>
            </w:pPr>
          </w:p>
        </w:tc>
        <w:tc>
          <w:tcPr>
            <w:tcW w:w="412" w:type="pct"/>
            <w:vMerge w:val="continue"/>
            <w:tcBorders>
              <w:top w:val="nil"/>
              <w:left w:val="single" w:color="auto" w:sz="4" w:space="0"/>
              <w:bottom w:val="single" w:color="auto" w:sz="4" w:space="0"/>
              <w:right w:val="single" w:color="auto" w:sz="4" w:space="0"/>
            </w:tcBorders>
            <w:vAlign w:val="center"/>
          </w:tcPr>
          <w:p w14:paraId="1EEA2F09">
            <w:pPr>
              <w:widowControl/>
              <w:wordWrap w:val="0"/>
              <w:spacing w:line="240" w:lineRule="exact"/>
              <w:jc w:val="left"/>
              <w:rPr>
                <w:rFonts w:hint="eastAsia" w:ascii="宋体" w:hAnsi="宋体" w:cs="宋体"/>
                <w:b/>
                <w:bCs/>
                <w:color w:val="000000"/>
                <w:kern w:val="0"/>
                <w:sz w:val="18"/>
                <w:szCs w:val="18"/>
              </w:rPr>
            </w:pPr>
          </w:p>
        </w:tc>
        <w:tc>
          <w:tcPr>
            <w:tcW w:w="820" w:type="pct"/>
            <w:tcBorders>
              <w:top w:val="nil"/>
              <w:left w:val="nil"/>
              <w:bottom w:val="single" w:color="auto" w:sz="4" w:space="0"/>
              <w:right w:val="single" w:color="auto" w:sz="4" w:space="0"/>
            </w:tcBorders>
            <w:vAlign w:val="center"/>
          </w:tcPr>
          <w:p w14:paraId="191B1F39">
            <w:pPr>
              <w:widowControl/>
              <w:wordWrap w:val="0"/>
              <w:spacing w:line="240" w:lineRule="exact"/>
              <w:jc w:val="center"/>
              <w:rPr>
                <w:rFonts w:hint="eastAsia" w:ascii="宋体" w:hAnsi="宋体" w:cs="宋体"/>
                <w:b/>
                <w:bCs/>
                <w:color w:val="000000"/>
                <w:kern w:val="0"/>
                <w:sz w:val="18"/>
                <w:szCs w:val="18"/>
              </w:rPr>
            </w:pPr>
            <w:r>
              <w:rPr>
                <w:rFonts w:hint="eastAsia" w:ascii="宋体" w:hAnsi="宋体" w:cs="宋体"/>
                <w:b/>
                <w:bCs/>
                <w:color w:val="000000"/>
                <w:kern w:val="0"/>
                <w:sz w:val="18"/>
                <w:szCs w:val="18"/>
              </w:rPr>
              <w:t>售后考核承诺</w:t>
            </w:r>
          </w:p>
        </w:tc>
        <w:tc>
          <w:tcPr>
            <w:tcW w:w="325" w:type="pct"/>
            <w:tcBorders>
              <w:top w:val="nil"/>
              <w:left w:val="nil"/>
              <w:bottom w:val="single" w:color="auto" w:sz="4" w:space="0"/>
              <w:right w:val="single" w:color="auto" w:sz="4" w:space="0"/>
            </w:tcBorders>
            <w:vAlign w:val="center"/>
          </w:tcPr>
          <w:p w14:paraId="408994F7">
            <w:pPr>
              <w:widowControl/>
              <w:wordWrap w:val="0"/>
              <w:spacing w:line="240" w:lineRule="exact"/>
              <w:jc w:val="center"/>
              <w:rPr>
                <w:rFonts w:hint="eastAsia" w:ascii="宋体" w:hAnsi="宋体" w:cs="宋体"/>
                <w:b/>
                <w:bCs/>
                <w:color w:val="000000"/>
                <w:kern w:val="0"/>
                <w:sz w:val="18"/>
                <w:szCs w:val="18"/>
              </w:rPr>
            </w:pPr>
            <w:r>
              <w:rPr>
                <w:rFonts w:hint="eastAsia" w:ascii="宋体" w:hAnsi="宋体" w:cs="宋体"/>
                <w:b/>
                <w:bCs/>
                <w:color w:val="000000"/>
                <w:kern w:val="0"/>
                <w:sz w:val="18"/>
                <w:szCs w:val="18"/>
              </w:rPr>
              <w:t>★</w:t>
            </w:r>
          </w:p>
        </w:tc>
        <w:tc>
          <w:tcPr>
            <w:tcW w:w="2675" w:type="pct"/>
            <w:tcBorders>
              <w:top w:val="nil"/>
              <w:left w:val="nil"/>
              <w:bottom w:val="single" w:color="auto" w:sz="4" w:space="0"/>
              <w:right w:val="single" w:color="auto" w:sz="4" w:space="0"/>
            </w:tcBorders>
            <w:vAlign w:val="center"/>
          </w:tcPr>
          <w:p w14:paraId="7924979A">
            <w:pPr>
              <w:widowControl/>
              <w:wordWrap w:val="0"/>
              <w:spacing w:line="240" w:lineRule="exact"/>
              <w:jc w:val="left"/>
              <w:rPr>
                <w:rFonts w:hint="eastAsia" w:ascii="宋体" w:hAnsi="宋体" w:cs="宋体"/>
                <w:b/>
                <w:bCs/>
                <w:color w:val="000000"/>
                <w:kern w:val="0"/>
                <w:sz w:val="18"/>
                <w:szCs w:val="18"/>
              </w:rPr>
            </w:pPr>
            <w:r>
              <w:rPr>
                <w:rFonts w:hint="eastAsia" w:ascii="宋体" w:hAnsi="宋体" w:cs="宋体"/>
                <w:b/>
                <w:bCs/>
                <w:color w:val="000000"/>
                <w:kern w:val="0"/>
                <w:sz w:val="18"/>
                <w:szCs w:val="18"/>
              </w:rPr>
              <w:t>★提供标书合同附件的《供应商售后服务协议》-盖章</w:t>
            </w:r>
          </w:p>
        </w:tc>
        <w:tc>
          <w:tcPr>
            <w:tcW w:w="605" w:type="pct"/>
            <w:vMerge w:val="continue"/>
            <w:tcBorders>
              <w:top w:val="nil"/>
              <w:left w:val="single" w:color="auto" w:sz="4" w:space="0"/>
              <w:bottom w:val="single" w:color="auto" w:sz="4" w:space="0"/>
              <w:right w:val="single" w:color="auto" w:sz="4" w:space="0"/>
            </w:tcBorders>
            <w:vAlign w:val="center"/>
          </w:tcPr>
          <w:p w14:paraId="0BD8E0EA">
            <w:pPr>
              <w:widowControl/>
              <w:wordWrap w:val="0"/>
              <w:spacing w:line="240" w:lineRule="exact"/>
              <w:jc w:val="left"/>
              <w:rPr>
                <w:rFonts w:hint="eastAsia" w:ascii="宋体" w:hAnsi="宋体" w:cs="宋体"/>
                <w:color w:val="000000"/>
                <w:kern w:val="0"/>
                <w:sz w:val="18"/>
                <w:szCs w:val="18"/>
              </w:rPr>
            </w:pPr>
          </w:p>
        </w:tc>
      </w:tr>
      <w:tr w14:paraId="66A87C70">
        <w:tblPrEx>
          <w:tblCellMar>
            <w:top w:w="0" w:type="dxa"/>
            <w:left w:w="108" w:type="dxa"/>
            <w:bottom w:w="0" w:type="dxa"/>
            <w:right w:w="108" w:type="dxa"/>
          </w:tblCellMar>
        </w:tblPrEx>
        <w:trPr>
          <w:trHeight w:val="20" w:hRule="atLeast"/>
        </w:trPr>
        <w:tc>
          <w:tcPr>
            <w:tcW w:w="161" w:type="pct"/>
            <w:vMerge w:val="continue"/>
            <w:tcBorders>
              <w:top w:val="nil"/>
              <w:left w:val="single" w:color="auto" w:sz="4" w:space="0"/>
              <w:bottom w:val="single" w:color="auto" w:sz="4" w:space="0"/>
              <w:right w:val="single" w:color="auto" w:sz="4" w:space="0"/>
            </w:tcBorders>
            <w:vAlign w:val="center"/>
          </w:tcPr>
          <w:p w14:paraId="1ED1A85B">
            <w:pPr>
              <w:widowControl/>
              <w:wordWrap w:val="0"/>
              <w:spacing w:line="240" w:lineRule="exact"/>
              <w:jc w:val="left"/>
              <w:rPr>
                <w:rFonts w:hint="eastAsia" w:ascii="宋体" w:hAnsi="宋体" w:cs="宋体"/>
                <w:b/>
                <w:bCs/>
                <w:color w:val="000000"/>
                <w:kern w:val="0"/>
                <w:sz w:val="18"/>
                <w:szCs w:val="18"/>
              </w:rPr>
            </w:pPr>
          </w:p>
        </w:tc>
        <w:tc>
          <w:tcPr>
            <w:tcW w:w="412" w:type="pct"/>
            <w:vMerge w:val="continue"/>
            <w:tcBorders>
              <w:top w:val="nil"/>
              <w:left w:val="single" w:color="auto" w:sz="4" w:space="0"/>
              <w:bottom w:val="single" w:color="auto" w:sz="4" w:space="0"/>
              <w:right w:val="single" w:color="auto" w:sz="4" w:space="0"/>
            </w:tcBorders>
            <w:vAlign w:val="center"/>
          </w:tcPr>
          <w:p w14:paraId="6C347AB4">
            <w:pPr>
              <w:widowControl/>
              <w:wordWrap w:val="0"/>
              <w:spacing w:line="240" w:lineRule="exact"/>
              <w:jc w:val="left"/>
              <w:rPr>
                <w:rFonts w:hint="eastAsia" w:ascii="宋体" w:hAnsi="宋体" w:cs="宋体"/>
                <w:b/>
                <w:bCs/>
                <w:color w:val="000000"/>
                <w:kern w:val="0"/>
                <w:sz w:val="18"/>
                <w:szCs w:val="18"/>
              </w:rPr>
            </w:pPr>
          </w:p>
        </w:tc>
        <w:tc>
          <w:tcPr>
            <w:tcW w:w="820" w:type="pct"/>
            <w:tcBorders>
              <w:top w:val="nil"/>
              <w:left w:val="nil"/>
              <w:bottom w:val="single" w:color="auto" w:sz="4" w:space="0"/>
              <w:right w:val="single" w:color="auto" w:sz="4" w:space="0"/>
            </w:tcBorders>
            <w:vAlign w:val="center"/>
          </w:tcPr>
          <w:p w14:paraId="34544ED1">
            <w:pPr>
              <w:widowControl/>
              <w:wordWrap w:val="0"/>
              <w:spacing w:line="240" w:lineRule="exact"/>
              <w:jc w:val="center"/>
              <w:rPr>
                <w:rFonts w:hint="eastAsia" w:ascii="宋体" w:hAnsi="宋体" w:cs="宋体"/>
                <w:b/>
                <w:bCs/>
                <w:color w:val="000000"/>
                <w:kern w:val="0"/>
                <w:sz w:val="18"/>
                <w:szCs w:val="18"/>
              </w:rPr>
            </w:pPr>
            <w:r>
              <w:rPr>
                <w:rFonts w:hint="eastAsia" w:ascii="宋体" w:hAnsi="宋体" w:cs="宋体"/>
                <w:b/>
                <w:bCs/>
                <w:color w:val="000000"/>
                <w:kern w:val="0"/>
                <w:sz w:val="18"/>
                <w:szCs w:val="18"/>
              </w:rPr>
              <w:t>售后应急响应承诺</w:t>
            </w:r>
            <w:r>
              <w:rPr>
                <w:rFonts w:hint="eastAsia" w:ascii="宋体" w:hAnsi="宋体" w:cs="宋体"/>
                <w:b/>
                <w:bCs/>
                <w:color w:val="000000"/>
                <w:kern w:val="0"/>
                <w:sz w:val="18"/>
                <w:szCs w:val="18"/>
              </w:rPr>
              <w:br w:type="textWrapping"/>
            </w:r>
            <w:r>
              <w:rPr>
                <w:rFonts w:hint="eastAsia" w:ascii="宋体" w:hAnsi="宋体" w:cs="宋体"/>
                <w:b/>
                <w:bCs/>
                <w:color w:val="000000"/>
                <w:kern w:val="0"/>
                <w:sz w:val="18"/>
                <w:szCs w:val="18"/>
              </w:rPr>
              <w:t>（特殊需求下）</w:t>
            </w:r>
          </w:p>
        </w:tc>
        <w:tc>
          <w:tcPr>
            <w:tcW w:w="325" w:type="pct"/>
            <w:tcBorders>
              <w:top w:val="nil"/>
              <w:left w:val="nil"/>
              <w:bottom w:val="single" w:color="auto" w:sz="4" w:space="0"/>
              <w:right w:val="single" w:color="auto" w:sz="4" w:space="0"/>
            </w:tcBorders>
            <w:vAlign w:val="center"/>
          </w:tcPr>
          <w:p w14:paraId="2160727B">
            <w:pPr>
              <w:widowControl/>
              <w:wordWrap w:val="0"/>
              <w:spacing w:line="240" w:lineRule="exact"/>
              <w:jc w:val="center"/>
              <w:rPr>
                <w:rFonts w:hint="eastAsia" w:ascii="宋体" w:hAnsi="宋体" w:cs="宋体"/>
                <w:b/>
                <w:bCs/>
                <w:color w:val="000000"/>
                <w:kern w:val="0"/>
                <w:sz w:val="18"/>
                <w:szCs w:val="18"/>
              </w:rPr>
            </w:pPr>
            <w:r>
              <w:rPr>
                <w:rFonts w:hint="eastAsia" w:ascii="宋体" w:hAnsi="宋体" w:cs="宋体"/>
                <w:b/>
                <w:bCs/>
                <w:color w:val="000000"/>
                <w:kern w:val="0"/>
                <w:sz w:val="18"/>
                <w:szCs w:val="18"/>
              </w:rPr>
              <w:t>★</w:t>
            </w:r>
          </w:p>
        </w:tc>
        <w:tc>
          <w:tcPr>
            <w:tcW w:w="2675" w:type="pct"/>
            <w:tcBorders>
              <w:top w:val="nil"/>
              <w:left w:val="nil"/>
              <w:bottom w:val="single" w:color="auto" w:sz="4" w:space="0"/>
              <w:right w:val="single" w:color="auto" w:sz="4" w:space="0"/>
            </w:tcBorders>
            <w:vAlign w:val="center"/>
          </w:tcPr>
          <w:p w14:paraId="731904EC">
            <w:pPr>
              <w:widowControl/>
              <w:wordWrap w:val="0"/>
              <w:spacing w:line="240" w:lineRule="exact"/>
              <w:jc w:val="left"/>
              <w:rPr>
                <w:rFonts w:hint="eastAsia" w:ascii="宋体" w:hAnsi="宋体" w:cs="宋体"/>
                <w:b/>
                <w:bCs/>
                <w:color w:val="000000"/>
                <w:kern w:val="0"/>
                <w:sz w:val="18"/>
                <w:szCs w:val="18"/>
              </w:rPr>
            </w:pPr>
            <w:r>
              <w:rPr>
                <w:rFonts w:hint="eastAsia" w:ascii="宋体" w:hAnsi="宋体" w:cs="宋体"/>
                <w:b/>
                <w:bCs/>
                <w:color w:val="000000"/>
                <w:kern w:val="0"/>
                <w:sz w:val="18"/>
                <w:szCs w:val="18"/>
              </w:rPr>
              <w:t>1、提供特殊情况下应急响应售后服务承诺函</w:t>
            </w:r>
            <w:r>
              <w:rPr>
                <w:rFonts w:hint="eastAsia" w:ascii="宋体" w:hAnsi="宋体" w:cs="宋体"/>
                <w:b/>
                <w:bCs/>
                <w:color w:val="000000"/>
                <w:kern w:val="0"/>
                <w:sz w:val="18"/>
                <w:szCs w:val="18"/>
                <w:lang w:eastAsia="zh-CN"/>
              </w:rPr>
              <w:t>，</w:t>
            </w:r>
            <w:r>
              <w:rPr>
                <w:rFonts w:hint="eastAsia" w:ascii="宋体" w:hAnsi="宋体" w:cs="宋体"/>
                <w:b/>
                <w:bCs/>
                <w:color w:val="000000"/>
                <w:kern w:val="0"/>
                <w:sz w:val="18"/>
                <w:szCs w:val="18"/>
              </w:rPr>
              <w:t>供应商建立安全库存，紧急订单无条件支持直发。（正常采购周期的</w:t>
            </w:r>
            <w:bookmarkStart w:id="28" w:name="OLE_LINK83"/>
            <w:r>
              <w:rPr>
                <w:rFonts w:hint="eastAsia" w:ascii="宋体" w:hAnsi="宋体" w:cs="宋体"/>
                <w:b/>
                <w:bCs/>
                <w:color w:val="0000FF"/>
                <w:kern w:val="0"/>
                <w:sz w:val="18"/>
                <w:szCs w:val="18"/>
              </w:rPr>
              <w:t>【1/3、1/2、1/2以下</w:t>
            </w:r>
            <w:r>
              <w:rPr>
                <w:rFonts w:ascii="宋体" w:hAnsi="宋体" w:cs="宋体"/>
                <w:b/>
                <w:bCs/>
                <w:color w:val="0000FF"/>
                <w:kern w:val="0"/>
                <w:sz w:val="18"/>
                <w:szCs w:val="18"/>
              </w:rPr>
              <w:t>……</w:t>
            </w:r>
            <w:r>
              <w:rPr>
                <w:rFonts w:hint="eastAsia" w:ascii="宋体" w:hAnsi="宋体" w:cs="宋体"/>
                <w:b/>
                <w:bCs/>
                <w:color w:val="0000FF"/>
                <w:kern w:val="0"/>
                <w:sz w:val="18"/>
                <w:szCs w:val="18"/>
              </w:rPr>
              <w:t>】</w:t>
            </w:r>
            <w:bookmarkEnd w:id="28"/>
            <w:r>
              <w:rPr>
                <w:rFonts w:hint="eastAsia" w:ascii="宋体" w:hAnsi="宋体" w:cs="宋体"/>
                <w:b/>
                <w:bCs/>
                <w:color w:val="000000"/>
                <w:kern w:val="0"/>
                <w:sz w:val="18"/>
                <w:szCs w:val="18"/>
              </w:rPr>
              <w:t>到货）；</w:t>
            </w:r>
          </w:p>
          <w:p w14:paraId="0F87C213">
            <w:pPr>
              <w:widowControl/>
              <w:wordWrap w:val="0"/>
              <w:spacing w:line="240" w:lineRule="exact"/>
              <w:jc w:val="left"/>
              <w:rPr>
                <w:rFonts w:hint="eastAsia" w:ascii="宋体" w:hAnsi="宋体" w:cs="宋体"/>
                <w:b/>
                <w:bCs/>
                <w:color w:val="000000"/>
                <w:kern w:val="0"/>
                <w:sz w:val="18"/>
                <w:szCs w:val="18"/>
              </w:rPr>
            </w:pPr>
            <w:r>
              <w:rPr>
                <w:rFonts w:hint="eastAsia" w:ascii="宋体" w:hAnsi="宋体" w:cs="宋体"/>
                <w:b/>
                <w:bCs/>
                <w:color w:val="000000"/>
                <w:kern w:val="0"/>
                <w:sz w:val="18"/>
                <w:szCs w:val="18"/>
              </w:rPr>
              <w:t>2、提供特殊应急情况下应急响应售后服务要求派技术售后人员赴市场一线指定地点处理售后问题的响应情况的承诺函</w:t>
            </w:r>
            <w:r>
              <w:rPr>
                <w:rFonts w:hint="eastAsia" w:ascii="宋体" w:hAnsi="宋体" w:cs="宋体"/>
                <w:b/>
                <w:bCs/>
                <w:color w:val="0000FF"/>
                <w:kern w:val="0"/>
                <w:sz w:val="18"/>
                <w:szCs w:val="18"/>
              </w:rPr>
              <w:t>【国内市场2日/3日/5日</w:t>
            </w:r>
            <w:r>
              <w:rPr>
                <w:rFonts w:ascii="宋体" w:hAnsi="宋体" w:cs="宋体"/>
                <w:b/>
                <w:bCs/>
                <w:color w:val="0000FF"/>
                <w:kern w:val="0"/>
                <w:sz w:val="18"/>
                <w:szCs w:val="18"/>
              </w:rPr>
              <w:t>……</w:t>
            </w:r>
            <w:r>
              <w:rPr>
                <w:rFonts w:hint="eastAsia" w:ascii="宋体" w:hAnsi="宋体" w:cs="宋体"/>
                <w:b/>
                <w:bCs/>
                <w:color w:val="0000FF"/>
                <w:kern w:val="0"/>
                <w:sz w:val="18"/>
                <w:szCs w:val="18"/>
              </w:rPr>
              <w:t>；海外市场3日/5日/7日</w:t>
            </w:r>
            <w:r>
              <w:rPr>
                <w:rFonts w:ascii="宋体" w:hAnsi="宋体" w:cs="宋体"/>
                <w:b/>
                <w:bCs/>
                <w:color w:val="0000FF"/>
                <w:kern w:val="0"/>
                <w:sz w:val="18"/>
                <w:szCs w:val="18"/>
              </w:rPr>
              <w:t>……</w:t>
            </w:r>
            <w:r>
              <w:rPr>
                <w:rFonts w:hint="eastAsia" w:ascii="宋体" w:hAnsi="宋体" w:cs="宋体"/>
                <w:b/>
                <w:bCs/>
                <w:color w:val="0000FF"/>
                <w:kern w:val="0"/>
                <w:sz w:val="18"/>
                <w:szCs w:val="18"/>
              </w:rPr>
              <w:t>着手准备赴外】</w:t>
            </w:r>
            <w:r>
              <w:rPr>
                <w:rFonts w:hint="eastAsia" w:ascii="宋体" w:hAnsi="宋体" w:cs="宋体"/>
                <w:b/>
                <w:bCs/>
                <w:color w:val="000000"/>
                <w:kern w:val="0"/>
                <w:sz w:val="18"/>
                <w:szCs w:val="18"/>
              </w:rPr>
              <w:t>；</w:t>
            </w:r>
          </w:p>
        </w:tc>
        <w:tc>
          <w:tcPr>
            <w:tcW w:w="605" w:type="pct"/>
            <w:vMerge w:val="continue"/>
            <w:tcBorders>
              <w:top w:val="nil"/>
              <w:left w:val="single" w:color="auto" w:sz="4" w:space="0"/>
              <w:bottom w:val="single" w:color="auto" w:sz="4" w:space="0"/>
              <w:right w:val="single" w:color="auto" w:sz="4" w:space="0"/>
            </w:tcBorders>
            <w:vAlign w:val="center"/>
          </w:tcPr>
          <w:p w14:paraId="662CFB10">
            <w:pPr>
              <w:widowControl/>
              <w:wordWrap w:val="0"/>
              <w:spacing w:line="240" w:lineRule="exact"/>
              <w:jc w:val="left"/>
              <w:rPr>
                <w:rFonts w:hint="eastAsia" w:ascii="宋体" w:hAnsi="宋体" w:cs="宋体"/>
                <w:color w:val="000000"/>
                <w:kern w:val="0"/>
                <w:sz w:val="18"/>
                <w:szCs w:val="18"/>
              </w:rPr>
            </w:pPr>
          </w:p>
        </w:tc>
      </w:tr>
      <w:tr w14:paraId="45AB13F5">
        <w:tblPrEx>
          <w:tblCellMar>
            <w:top w:w="0" w:type="dxa"/>
            <w:left w:w="108" w:type="dxa"/>
            <w:bottom w:w="0" w:type="dxa"/>
            <w:right w:w="108" w:type="dxa"/>
          </w:tblCellMar>
        </w:tblPrEx>
        <w:trPr>
          <w:trHeight w:val="20" w:hRule="atLeast"/>
        </w:trPr>
        <w:tc>
          <w:tcPr>
            <w:tcW w:w="161" w:type="pct"/>
            <w:vMerge w:val="continue"/>
            <w:tcBorders>
              <w:top w:val="nil"/>
              <w:left w:val="single" w:color="auto" w:sz="4" w:space="0"/>
              <w:bottom w:val="single" w:color="auto" w:sz="4" w:space="0"/>
              <w:right w:val="single" w:color="auto" w:sz="4" w:space="0"/>
            </w:tcBorders>
            <w:vAlign w:val="center"/>
          </w:tcPr>
          <w:p w14:paraId="68BAB68B">
            <w:pPr>
              <w:widowControl/>
              <w:wordWrap w:val="0"/>
              <w:spacing w:line="240" w:lineRule="exact"/>
              <w:jc w:val="left"/>
              <w:rPr>
                <w:rFonts w:hint="eastAsia" w:ascii="宋体" w:hAnsi="宋体" w:cs="宋体"/>
                <w:b/>
                <w:bCs/>
                <w:color w:val="000000"/>
                <w:kern w:val="0"/>
                <w:sz w:val="18"/>
                <w:szCs w:val="18"/>
              </w:rPr>
            </w:pPr>
          </w:p>
        </w:tc>
        <w:tc>
          <w:tcPr>
            <w:tcW w:w="412" w:type="pct"/>
            <w:vMerge w:val="continue"/>
            <w:tcBorders>
              <w:top w:val="nil"/>
              <w:left w:val="single" w:color="auto" w:sz="4" w:space="0"/>
              <w:bottom w:val="single" w:color="auto" w:sz="4" w:space="0"/>
              <w:right w:val="single" w:color="auto" w:sz="4" w:space="0"/>
            </w:tcBorders>
            <w:vAlign w:val="center"/>
          </w:tcPr>
          <w:p w14:paraId="5DF9D4E0">
            <w:pPr>
              <w:widowControl/>
              <w:wordWrap w:val="0"/>
              <w:spacing w:line="240" w:lineRule="exact"/>
              <w:jc w:val="left"/>
              <w:rPr>
                <w:rFonts w:hint="eastAsia" w:ascii="宋体" w:hAnsi="宋体" w:cs="宋体"/>
                <w:b/>
                <w:bCs/>
                <w:color w:val="000000"/>
                <w:kern w:val="0"/>
                <w:sz w:val="18"/>
                <w:szCs w:val="18"/>
              </w:rPr>
            </w:pPr>
          </w:p>
        </w:tc>
        <w:tc>
          <w:tcPr>
            <w:tcW w:w="820" w:type="pct"/>
            <w:tcBorders>
              <w:top w:val="nil"/>
              <w:left w:val="nil"/>
              <w:bottom w:val="single" w:color="auto" w:sz="4" w:space="0"/>
              <w:right w:val="single" w:color="auto" w:sz="4" w:space="0"/>
            </w:tcBorders>
            <w:vAlign w:val="center"/>
          </w:tcPr>
          <w:p w14:paraId="5468822C">
            <w:pPr>
              <w:widowControl/>
              <w:wordWrap w:val="0"/>
              <w:spacing w:line="240" w:lineRule="exact"/>
              <w:jc w:val="center"/>
              <w:rPr>
                <w:rFonts w:hint="eastAsia" w:ascii="宋体" w:hAnsi="宋体" w:cs="宋体"/>
                <w:b/>
                <w:bCs/>
                <w:color w:val="000000"/>
                <w:kern w:val="0"/>
                <w:sz w:val="18"/>
                <w:szCs w:val="18"/>
              </w:rPr>
            </w:pPr>
            <w:r>
              <w:rPr>
                <w:rFonts w:hint="eastAsia" w:ascii="宋体" w:hAnsi="宋体" w:cs="宋体"/>
                <w:b/>
                <w:bCs/>
                <w:color w:val="000000"/>
                <w:kern w:val="0"/>
                <w:sz w:val="18"/>
                <w:szCs w:val="18"/>
              </w:rPr>
              <w:t>售后二次索赔处理及时率</w:t>
            </w:r>
          </w:p>
        </w:tc>
        <w:tc>
          <w:tcPr>
            <w:tcW w:w="325" w:type="pct"/>
            <w:tcBorders>
              <w:top w:val="nil"/>
              <w:left w:val="nil"/>
              <w:bottom w:val="single" w:color="auto" w:sz="4" w:space="0"/>
              <w:right w:val="single" w:color="auto" w:sz="4" w:space="0"/>
            </w:tcBorders>
            <w:vAlign w:val="center"/>
          </w:tcPr>
          <w:p w14:paraId="4856A1EF">
            <w:pPr>
              <w:widowControl/>
              <w:wordWrap w:val="0"/>
              <w:spacing w:line="240" w:lineRule="exact"/>
              <w:jc w:val="center"/>
              <w:rPr>
                <w:rFonts w:hint="eastAsia" w:ascii="宋体" w:hAnsi="宋体" w:cs="宋体"/>
                <w:b/>
                <w:bCs/>
                <w:color w:val="000000"/>
                <w:kern w:val="0"/>
                <w:sz w:val="18"/>
                <w:szCs w:val="18"/>
              </w:rPr>
            </w:pPr>
            <w:r>
              <w:rPr>
                <w:rFonts w:hint="eastAsia" w:ascii="宋体" w:hAnsi="宋体" w:cs="宋体"/>
                <w:b/>
                <w:bCs/>
                <w:color w:val="000000"/>
                <w:kern w:val="0"/>
                <w:sz w:val="18"/>
                <w:szCs w:val="18"/>
              </w:rPr>
              <w:t>★</w:t>
            </w:r>
          </w:p>
        </w:tc>
        <w:tc>
          <w:tcPr>
            <w:tcW w:w="2675" w:type="pct"/>
            <w:tcBorders>
              <w:top w:val="nil"/>
              <w:left w:val="nil"/>
              <w:bottom w:val="single" w:color="auto" w:sz="4" w:space="0"/>
              <w:right w:val="single" w:color="auto" w:sz="4" w:space="0"/>
            </w:tcBorders>
            <w:vAlign w:val="center"/>
          </w:tcPr>
          <w:p w14:paraId="3E8F2065">
            <w:pPr>
              <w:widowControl/>
              <w:wordWrap w:val="0"/>
              <w:spacing w:line="240" w:lineRule="exact"/>
              <w:jc w:val="left"/>
              <w:rPr>
                <w:rFonts w:hint="eastAsia" w:ascii="宋体" w:hAnsi="宋体" w:cs="宋体"/>
                <w:b/>
                <w:bCs/>
                <w:color w:val="000000"/>
                <w:kern w:val="0"/>
                <w:sz w:val="18"/>
                <w:szCs w:val="18"/>
              </w:rPr>
            </w:pPr>
            <w:r>
              <w:rPr>
                <w:rFonts w:hint="eastAsia" w:ascii="宋体" w:hAnsi="宋体" w:cs="宋体"/>
                <w:b/>
                <w:bCs/>
                <w:color w:val="000000"/>
                <w:kern w:val="0"/>
                <w:sz w:val="18"/>
                <w:szCs w:val="18"/>
              </w:rPr>
              <w:t>承诺积极配合进行售后二次索赔责任划分及签订相关确认书</w:t>
            </w:r>
            <w:r>
              <w:rPr>
                <w:rFonts w:hint="eastAsia" w:ascii="宋体" w:hAnsi="宋体" w:cs="宋体"/>
                <w:b/>
                <w:bCs/>
                <w:color w:val="0000FF"/>
                <w:kern w:val="0"/>
                <w:sz w:val="18"/>
                <w:szCs w:val="18"/>
              </w:rPr>
              <w:t>【如2个月/</w:t>
            </w:r>
            <w:r>
              <w:rPr>
                <w:rFonts w:hint="eastAsia" w:ascii="宋体" w:hAnsi="宋体" w:cs="宋体"/>
                <w:b/>
                <w:bCs/>
                <w:color w:val="0000FF"/>
                <w:kern w:val="0"/>
                <w:sz w:val="18"/>
                <w:szCs w:val="18"/>
                <w:lang w:val="en-US" w:eastAsia="zh-CN"/>
              </w:rPr>
              <w:t>3</w:t>
            </w:r>
            <w:r>
              <w:rPr>
                <w:rFonts w:hint="eastAsia" w:ascii="宋体" w:hAnsi="宋体" w:cs="宋体"/>
                <w:b/>
                <w:bCs/>
                <w:color w:val="0000FF"/>
                <w:kern w:val="0"/>
                <w:sz w:val="18"/>
                <w:szCs w:val="18"/>
              </w:rPr>
              <w:t>个月/</w:t>
            </w:r>
            <w:r>
              <w:rPr>
                <w:rFonts w:hint="eastAsia" w:ascii="宋体" w:hAnsi="宋体" w:cs="宋体"/>
                <w:b/>
                <w:bCs/>
                <w:color w:val="0000FF"/>
                <w:kern w:val="0"/>
                <w:sz w:val="18"/>
                <w:szCs w:val="18"/>
                <w:lang w:val="en-US" w:eastAsia="zh-CN"/>
              </w:rPr>
              <w:t>4</w:t>
            </w:r>
            <w:r>
              <w:rPr>
                <w:rFonts w:hint="eastAsia" w:ascii="宋体" w:hAnsi="宋体" w:cs="宋体"/>
                <w:b/>
                <w:bCs/>
                <w:color w:val="0000FF"/>
                <w:kern w:val="0"/>
                <w:sz w:val="18"/>
                <w:szCs w:val="18"/>
              </w:rPr>
              <w:t>个月内</w:t>
            </w:r>
            <w:r>
              <w:rPr>
                <w:rFonts w:ascii="宋体" w:hAnsi="宋体" w:cs="宋体"/>
                <w:b/>
                <w:bCs/>
                <w:color w:val="0000FF"/>
                <w:kern w:val="0"/>
                <w:sz w:val="18"/>
                <w:szCs w:val="18"/>
              </w:rPr>
              <w:t>……</w:t>
            </w:r>
            <w:r>
              <w:rPr>
                <w:rFonts w:hint="eastAsia" w:ascii="宋体" w:hAnsi="宋体" w:cs="宋体"/>
                <w:b/>
                <w:bCs/>
                <w:color w:val="0000FF"/>
                <w:kern w:val="0"/>
                <w:sz w:val="18"/>
                <w:szCs w:val="18"/>
              </w:rPr>
              <w:t>】</w:t>
            </w:r>
            <w:r>
              <w:rPr>
                <w:rFonts w:hint="eastAsia" w:ascii="宋体" w:hAnsi="宋体" w:cs="宋体"/>
                <w:b/>
                <w:bCs/>
                <w:color w:val="000000"/>
                <w:kern w:val="0"/>
                <w:sz w:val="18"/>
                <w:szCs w:val="18"/>
              </w:rPr>
              <w:t>；</w:t>
            </w:r>
          </w:p>
        </w:tc>
        <w:tc>
          <w:tcPr>
            <w:tcW w:w="605" w:type="pct"/>
            <w:vMerge w:val="continue"/>
            <w:tcBorders>
              <w:top w:val="nil"/>
              <w:left w:val="single" w:color="auto" w:sz="4" w:space="0"/>
              <w:bottom w:val="single" w:color="auto" w:sz="4" w:space="0"/>
              <w:right w:val="single" w:color="auto" w:sz="4" w:space="0"/>
            </w:tcBorders>
            <w:vAlign w:val="center"/>
          </w:tcPr>
          <w:p w14:paraId="13DAA2FA">
            <w:pPr>
              <w:widowControl/>
              <w:wordWrap w:val="0"/>
              <w:spacing w:line="240" w:lineRule="exact"/>
              <w:jc w:val="left"/>
              <w:rPr>
                <w:rFonts w:hint="eastAsia" w:ascii="宋体" w:hAnsi="宋体" w:cs="宋体"/>
                <w:color w:val="000000"/>
                <w:kern w:val="0"/>
                <w:sz w:val="18"/>
                <w:szCs w:val="18"/>
              </w:rPr>
            </w:pPr>
          </w:p>
        </w:tc>
      </w:tr>
      <w:tr w14:paraId="71172891">
        <w:tblPrEx>
          <w:tblCellMar>
            <w:top w:w="0" w:type="dxa"/>
            <w:left w:w="108" w:type="dxa"/>
            <w:bottom w:w="0" w:type="dxa"/>
            <w:right w:w="108" w:type="dxa"/>
          </w:tblCellMar>
        </w:tblPrEx>
        <w:trPr>
          <w:trHeight w:val="20" w:hRule="atLeast"/>
        </w:trPr>
        <w:tc>
          <w:tcPr>
            <w:tcW w:w="161" w:type="pct"/>
            <w:vMerge w:val="continue"/>
            <w:tcBorders>
              <w:top w:val="nil"/>
              <w:left w:val="single" w:color="auto" w:sz="4" w:space="0"/>
              <w:bottom w:val="single" w:color="auto" w:sz="4" w:space="0"/>
              <w:right w:val="single" w:color="auto" w:sz="4" w:space="0"/>
            </w:tcBorders>
            <w:vAlign w:val="center"/>
          </w:tcPr>
          <w:p w14:paraId="4F296E40">
            <w:pPr>
              <w:widowControl/>
              <w:wordWrap w:val="0"/>
              <w:spacing w:line="240" w:lineRule="exact"/>
              <w:jc w:val="left"/>
              <w:rPr>
                <w:rFonts w:hint="eastAsia" w:ascii="宋体" w:hAnsi="宋体" w:cs="宋体"/>
                <w:b/>
                <w:bCs/>
                <w:color w:val="000000"/>
                <w:kern w:val="0"/>
                <w:sz w:val="18"/>
                <w:szCs w:val="18"/>
              </w:rPr>
            </w:pPr>
          </w:p>
        </w:tc>
        <w:tc>
          <w:tcPr>
            <w:tcW w:w="412" w:type="pct"/>
            <w:vMerge w:val="continue"/>
            <w:tcBorders>
              <w:top w:val="nil"/>
              <w:left w:val="single" w:color="auto" w:sz="4" w:space="0"/>
              <w:bottom w:val="single" w:color="auto" w:sz="4" w:space="0"/>
              <w:right w:val="single" w:color="auto" w:sz="4" w:space="0"/>
            </w:tcBorders>
            <w:vAlign w:val="center"/>
          </w:tcPr>
          <w:p w14:paraId="03777BB3">
            <w:pPr>
              <w:widowControl/>
              <w:wordWrap w:val="0"/>
              <w:spacing w:line="240" w:lineRule="exact"/>
              <w:jc w:val="left"/>
              <w:rPr>
                <w:rFonts w:hint="eastAsia" w:ascii="宋体" w:hAnsi="宋体" w:cs="宋体"/>
                <w:b/>
                <w:bCs/>
                <w:color w:val="000000"/>
                <w:kern w:val="0"/>
                <w:sz w:val="18"/>
                <w:szCs w:val="18"/>
              </w:rPr>
            </w:pPr>
          </w:p>
        </w:tc>
        <w:tc>
          <w:tcPr>
            <w:tcW w:w="820" w:type="pct"/>
            <w:tcBorders>
              <w:top w:val="nil"/>
              <w:left w:val="nil"/>
              <w:bottom w:val="single" w:color="auto" w:sz="4" w:space="0"/>
              <w:right w:val="single" w:color="auto" w:sz="4" w:space="0"/>
            </w:tcBorders>
            <w:vAlign w:val="center"/>
          </w:tcPr>
          <w:p w14:paraId="19D12B77">
            <w:pPr>
              <w:widowControl/>
              <w:wordWrap w:val="0"/>
              <w:spacing w:line="240" w:lineRule="exact"/>
              <w:jc w:val="center"/>
              <w:rPr>
                <w:rFonts w:hint="eastAsia" w:ascii="宋体" w:hAnsi="宋体" w:cs="宋体"/>
                <w:b/>
                <w:bCs/>
                <w:color w:val="000000"/>
                <w:kern w:val="0"/>
                <w:sz w:val="18"/>
                <w:szCs w:val="18"/>
              </w:rPr>
            </w:pPr>
            <w:r>
              <w:rPr>
                <w:rFonts w:hint="eastAsia" w:ascii="宋体" w:hAnsi="宋体" w:cs="宋体"/>
                <w:b/>
                <w:bCs/>
                <w:color w:val="000000"/>
                <w:kern w:val="0"/>
                <w:sz w:val="18"/>
                <w:szCs w:val="18"/>
              </w:rPr>
              <w:t>售后配件资料的提供</w:t>
            </w:r>
          </w:p>
        </w:tc>
        <w:tc>
          <w:tcPr>
            <w:tcW w:w="325" w:type="pct"/>
            <w:tcBorders>
              <w:top w:val="nil"/>
              <w:left w:val="nil"/>
              <w:bottom w:val="single" w:color="auto" w:sz="4" w:space="0"/>
              <w:right w:val="single" w:color="auto" w:sz="4" w:space="0"/>
            </w:tcBorders>
            <w:vAlign w:val="center"/>
          </w:tcPr>
          <w:p w14:paraId="087D38DE">
            <w:pPr>
              <w:widowControl/>
              <w:wordWrap w:val="0"/>
              <w:spacing w:line="240" w:lineRule="exact"/>
              <w:jc w:val="center"/>
              <w:rPr>
                <w:rFonts w:hint="eastAsia" w:ascii="宋体" w:hAnsi="宋体" w:cs="宋体"/>
                <w:b/>
                <w:bCs/>
                <w:color w:val="000000"/>
                <w:kern w:val="0"/>
                <w:sz w:val="18"/>
                <w:szCs w:val="18"/>
              </w:rPr>
            </w:pPr>
            <w:r>
              <w:rPr>
                <w:rFonts w:hint="eastAsia" w:ascii="宋体" w:hAnsi="宋体" w:cs="宋体"/>
                <w:b/>
                <w:bCs/>
                <w:color w:val="000000"/>
                <w:kern w:val="0"/>
                <w:sz w:val="18"/>
                <w:szCs w:val="18"/>
              </w:rPr>
              <w:t>★</w:t>
            </w:r>
          </w:p>
        </w:tc>
        <w:tc>
          <w:tcPr>
            <w:tcW w:w="2675" w:type="pct"/>
            <w:tcBorders>
              <w:top w:val="nil"/>
              <w:left w:val="nil"/>
              <w:bottom w:val="single" w:color="auto" w:sz="4" w:space="0"/>
              <w:right w:val="single" w:color="auto" w:sz="4" w:space="0"/>
            </w:tcBorders>
            <w:vAlign w:val="center"/>
          </w:tcPr>
          <w:p w14:paraId="46FB5ECF">
            <w:pPr>
              <w:widowControl/>
              <w:wordWrap w:val="0"/>
              <w:spacing w:line="240" w:lineRule="exact"/>
              <w:jc w:val="left"/>
              <w:rPr>
                <w:rFonts w:hint="eastAsia" w:ascii="宋体" w:hAnsi="宋体" w:cs="宋体"/>
                <w:b/>
                <w:bCs/>
                <w:color w:val="000000"/>
                <w:kern w:val="0"/>
                <w:sz w:val="18"/>
                <w:szCs w:val="18"/>
              </w:rPr>
            </w:pPr>
            <w:r>
              <w:rPr>
                <w:rFonts w:hint="eastAsia" w:ascii="宋体" w:hAnsi="宋体" w:cs="宋体"/>
                <w:b/>
                <w:bCs/>
                <w:color w:val="000000"/>
                <w:kern w:val="0"/>
                <w:sz w:val="18"/>
                <w:szCs w:val="18"/>
              </w:rPr>
              <w:t>零配件价格及资料（包含配件价格、图册、bom清单及培训资料）在</w:t>
            </w:r>
            <w:r>
              <w:rPr>
                <w:rFonts w:hint="eastAsia" w:ascii="宋体" w:hAnsi="宋体" w:cs="宋体"/>
                <w:b/>
                <w:bCs/>
                <w:color w:val="FF0000"/>
                <w:kern w:val="0"/>
                <w:sz w:val="18"/>
                <w:szCs w:val="18"/>
              </w:rPr>
              <w:t>X</w:t>
            </w:r>
            <w:r>
              <w:rPr>
                <w:rFonts w:hint="eastAsia" w:ascii="宋体" w:hAnsi="宋体" w:cs="宋体"/>
                <w:b/>
                <w:bCs/>
                <w:color w:val="000000"/>
                <w:kern w:val="0"/>
                <w:sz w:val="18"/>
                <w:szCs w:val="18"/>
              </w:rPr>
              <w:t>日内提供的承诺函</w:t>
            </w:r>
            <w:r>
              <w:rPr>
                <w:rFonts w:hint="eastAsia" w:ascii="宋体" w:hAnsi="宋体" w:cs="宋体"/>
                <w:b/>
                <w:bCs/>
                <w:color w:val="0000FF"/>
                <w:kern w:val="0"/>
                <w:sz w:val="18"/>
                <w:szCs w:val="18"/>
              </w:rPr>
              <w:t>【如3日/5日/7日</w:t>
            </w:r>
            <w:r>
              <w:rPr>
                <w:rFonts w:ascii="宋体" w:hAnsi="宋体" w:cs="宋体"/>
                <w:b/>
                <w:bCs/>
                <w:color w:val="0000FF"/>
                <w:kern w:val="0"/>
                <w:sz w:val="18"/>
                <w:szCs w:val="18"/>
              </w:rPr>
              <w:t>……</w:t>
            </w:r>
            <w:r>
              <w:rPr>
                <w:rFonts w:hint="eastAsia" w:ascii="宋体" w:hAnsi="宋体" w:cs="宋体"/>
                <w:b/>
                <w:bCs/>
                <w:color w:val="0000FF"/>
                <w:kern w:val="0"/>
                <w:sz w:val="18"/>
                <w:szCs w:val="18"/>
              </w:rPr>
              <w:t>】</w:t>
            </w:r>
          </w:p>
        </w:tc>
        <w:tc>
          <w:tcPr>
            <w:tcW w:w="605" w:type="pct"/>
            <w:vMerge w:val="continue"/>
            <w:tcBorders>
              <w:top w:val="nil"/>
              <w:left w:val="single" w:color="auto" w:sz="4" w:space="0"/>
              <w:bottom w:val="single" w:color="auto" w:sz="4" w:space="0"/>
              <w:right w:val="single" w:color="auto" w:sz="4" w:space="0"/>
            </w:tcBorders>
            <w:vAlign w:val="center"/>
          </w:tcPr>
          <w:p w14:paraId="347113F3">
            <w:pPr>
              <w:widowControl/>
              <w:wordWrap w:val="0"/>
              <w:spacing w:line="240" w:lineRule="exact"/>
              <w:jc w:val="left"/>
              <w:rPr>
                <w:rFonts w:hint="eastAsia" w:ascii="宋体" w:hAnsi="宋体" w:cs="宋体"/>
                <w:color w:val="000000"/>
                <w:kern w:val="0"/>
                <w:sz w:val="18"/>
                <w:szCs w:val="18"/>
              </w:rPr>
            </w:pPr>
          </w:p>
        </w:tc>
      </w:tr>
      <w:tr w14:paraId="7D15AD50">
        <w:tblPrEx>
          <w:tblCellMar>
            <w:top w:w="0" w:type="dxa"/>
            <w:left w:w="108" w:type="dxa"/>
            <w:bottom w:w="0" w:type="dxa"/>
            <w:right w:w="108" w:type="dxa"/>
          </w:tblCellMar>
        </w:tblPrEx>
        <w:trPr>
          <w:trHeight w:val="20" w:hRule="atLeast"/>
        </w:trPr>
        <w:tc>
          <w:tcPr>
            <w:tcW w:w="161" w:type="pct"/>
            <w:vMerge w:val="continue"/>
            <w:tcBorders>
              <w:top w:val="nil"/>
              <w:left w:val="single" w:color="auto" w:sz="4" w:space="0"/>
              <w:bottom w:val="single" w:color="auto" w:sz="4" w:space="0"/>
              <w:right w:val="single" w:color="auto" w:sz="4" w:space="0"/>
            </w:tcBorders>
            <w:vAlign w:val="center"/>
          </w:tcPr>
          <w:p w14:paraId="207C33F8">
            <w:pPr>
              <w:widowControl/>
              <w:wordWrap w:val="0"/>
              <w:spacing w:line="240" w:lineRule="exact"/>
              <w:jc w:val="left"/>
              <w:rPr>
                <w:rFonts w:hint="eastAsia" w:ascii="宋体" w:hAnsi="宋体" w:cs="宋体"/>
                <w:b/>
                <w:bCs/>
                <w:color w:val="000000"/>
                <w:kern w:val="0"/>
                <w:sz w:val="18"/>
                <w:szCs w:val="18"/>
              </w:rPr>
            </w:pPr>
          </w:p>
        </w:tc>
        <w:tc>
          <w:tcPr>
            <w:tcW w:w="412" w:type="pct"/>
            <w:vMerge w:val="continue"/>
            <w:tcBorders>
              <w:top w:val="nil"/>
              <w:left w:val="single" w:color="auto" w:sz="4" w:space="0"/>
              <w:bottom w:val="single" w:color="auto" w:sz="4" w:space="0"/>
              <w:right w:val="single" w:color="auto" w:sz="4" w:space="0"/>
            </w:tcBorders>
            <w:vAlign w:val="center"/>
          </w:tcPr>
          <w:p w14:paraId="57E27D25">
            <w:pPr>
              <w:widowControl/>
              <w:wordWrap w:val="0"/>
              <w:spacing w:line="240" w:lineRule="exact"/>
              <w:jc w:val="left"/>
              <w:rPr>
                <w:rFonts w:hint="eastAsia" w:ascii="宋体" w:hAnsi="宋体" w:cs="宋体"/>
                <w:b/>
                <w:bCs/>
                <w:color w:val="000000"/>
                <w:kern w:val="0"/>
                <w:sz w:val="18"/>
                <w:szCs w:val="18"/>
              </w:rPr>
            </w:pPr>
          </w:p>
        </w:tc>
        <w:tc>
          <w:tcPr>
            <w:tcW w:w="820" w:type="pct"/>
            <w:tcBorders>
              <w:top w:val="nil"/>
              <w:left w:val="nil"/>
              <w:bottom w:val="single" w:color="auto" w:sz="4" w:space="0"/>
              <w:right w:val="single" w:color="auto" w:sz="4" w:space="0"/>
            </w:tcBorders>
            <w:vAlign w:val="center"/>
          </w:tcPr>
          <w:p w14:paraId="26E7DC4B">
            <w:pPr>
              <w:widowControl/>
              <w:wordWrap w:val="0"/>
              <w:spacing w:line="240" w:lineRule="exact"/>
              <w:jc w:val="center"/>
              <w:rPr>
                <w:rFonts w:hint="eastAsia" w:ascii="宋体" w:hAnsi="宋体" w:cs="宋体"/>
                <w:b/>
                <w:bCs/>
                <w:color w:val="000000"/>
                <w:kern w:val="0"/>
                <w:sz w:val="18"/>
                <w:szCs w:val="18"/>
              </w:rPr>
            </w:pPr>
            <w:r>
              <w:rPr>
                <w:rFonts w:hint="eastAsia" w:ascii="宋体" w:hAnsi="宋体" w:cs="宋体"/>
                <w:b/>
                <w:bCs/>
                <w:color w:val="000000"/>
                <w:kern w:val="0"/>
                <w:sz w:val="18"/>
                <w:szCs w:val="18"/>
              </w:rPr>
              <w:t>售后配件供应生命周期</w:t>
            </w:r>
          </w:p>
        </w:tc>
        <w:tc>
          <w:tcPr>
            <w:tcW w:w="325" w:type="pct"/>
            <w:tcBorders>
              <w:top w:val="nil"/>
              <w:left w:val="nil"/>
              <w:bottom w:val="single" w:color="auto" w:sz="4" w:space="0"/>
              <w:right w:val="single" w:color="auto" w:sz="4" w:space="0"/>
            </w:tcBorders>
            <w:vAlign w:val="center"/>
          </w:tcPr>
          <w:p w14:paraId="27FAF9A5">
            <w:pPr>
              <w:widowControl/>
              <w:wordWrap w:val="0"/>
              <w:spacing w:line="240" w:lineRule="exact"/>
              <w:jc w:val="center"/>
              <w:rPr>
                <w:rFonts w:hint="eastAsia" w:ascii="宋体" w:hAnsi="宋体" w:cs="宋体"/>
                <w:b/>
                <w:bCs/>
                <w:color w:val="000000"/>
                <w:kern w:val="0"/>
                <w:sz w:val="18"/>
                <w:szCs w:val="18"/>
              </w:rPr>
            </w:pPr>
            <w:r>
              <w:rPr>
                <w:rFonts w:hint="eastAsia" w:ascii="宋体" w:hAnsi="宋体" w:cs="宋体"/>
                <w:b/>
                <w:bCs/>
                <w:color w:val="000000"/>
                <w:kern w:val="0"/>
                <w:sz w:val="18"/>
                <w:szCs w:val="18"/>
              </w:rPr>
              <w:t>★</w:t>
            </w:r>
          </w:p>
        </w:tc>
        <w:tc>
          <w:tcPr>
            <w:tcW w:w="2675" w:type="pct"/>
            <w:tcBorders>
              <w:top w:val="nil"/>
              <w:left w:val="nil"/>
              <w:bottom w:val="single" w:color="auto" w:sz="4" w:space="0"/>
              <w:right w:val="single" w:color="auto" w:sz="4" w:space="0"/>
            </w:tcBorders>
            <w:vAlign w:val="center"/>
          </w:tcPr>
          <w:p w14:paraId="04282EA1">
            <w:pPr>
              <w:widowControl/>
              <w:wordWrap w:val="0"/>
              <w:spacing w:line="240" w:lineRule="exact"/>
              <w:jc w:val="left"/>
              <w:rPr>
                <w:rFonts w:hint="eastAsia" w:ascii="宋体" w:hAnsi="宋体" w:cs="宋体"/>
                <w:b/>
                <w:bCs/>
                <w:color w:val="000000"/>
                <w:kern w:val="0"/>
                <w:sz w:val="18"/>
                <w:szCs w:val="18"/>
              </w:rPr>
            </w:pPr>
            <w:r>
              <w:rPr>
                <w:rFonts w:hint="eastAsia" w:ascii="宋体" w:hAnsi="宋体" w:cs="宋体"/>
                <w:b/>
                <w:bCs/>
                <w:color w:val="000000"/>
                <w:kern w:val="0"/>
                <w:sz w:val="18"/>
                <w:szCs w:val="18"/>
              </w:rPr>
              <w:t>1、提供承诺售后配件供应生命周期的承诺函</w:t>
            </w:r>
            <w:r>
              <w:rPr>
                <w:rFonts w:hint="eastAsia" w:ascii="宋体" w:hAnsi="宋体" w:cs="宋体"/>
                <w:b/>
                <w:bCs/>
                <w:color w:val="0000FF"/>
                <w:kern w:val="0"/>
                <w:sz w:val="18"/>
                <w:szCs w:val="18"/>
              </w:rPr>
              <w:t>【如5年/10年/15年</w:t>
            </w:r>
            <w:r>
              <w:rPr>
                <w:rFonts w:ascii="宋体" w:hAnsi="宋体" w:cs="宋体"/>
                <w:b/>
                <w:bCs/>
                <w:color w:val="0000FF"/>
                <w:kern w:val="0"/>
                <w:sz w:val="18"/>
                <w:szCs w:val="18"/>
              </w:rPr>
              <w:t>……</w:t>
            </w:r>
            <w:r>
              <w:rPr>
                <w:rFonts w:hint="eastAsia" w:ascii="宋体" w:hAnsi="宋体" w:cs="宋体"/>
                <w:b/>
                <w:bCs/>
                <w:color w:val="0000FF"/>
                <w:kern w:val="0"/>
                <w:sz w:val="18"/>
                <w:szCs w:val="18"/>
              </w:rPr>
              <w:t>】</w:t>
            </w:r>
            <w:r>
              <w:rPr>
                <w:rFonts w:hint="eastAsia" w:ascii="宋体" w:hAnsi="宋体" w:cs="宋体"/>
                <w:b/>
                <w:bCs/>
                <w:color w:val="000000"/>
                <w:kern w:val="0"/>
                <w:sz w:val="18"/>
                <w:szCs w:val="18"/>
              </w:rPr>
              <w:t>；</w:t>
            </w:r>
          </w:p>
          <w:p w14:paraId="7FF318EC">
            <w:pPr>
              <w:widowControl/>
              <w:wordWrap w:val="0"/>
              <w:spacing w:line="240" w:lineRule="exact"/>
              <w:jc w:val="left"/>
              <w:rPr>
                <w:rFonts w:hint="eastAsia" w:ascii="宋体" w:hAnsi="宋体" w:cs="宋体"/>
                <w:b/>
                <w:bCs/>
                <w:color w:val="000000"/>
                <w:kern w:val="0"/>
                <w:sz w:val="18"/>
                <w:szCs w:val="18"/>
              </w:rPr>
            </w:pPr>
            <w:r>
              <w:rPr>
                <w:rFonts w:hint="eastAsia" w:ascii="宋体" w:hAnsi="宋体" w:cs="宋体"/>
                <w:b/>
                <w:bCs/>
                <w:color w:val="000000"/>
                <w:kern w:val="0"/>
                <w:sz w:val="18"/>
                <w:szCs w:val="18"/>
              </w:rPr>
              <w:t>2、对于量产的停产车型，承诺满足配件供应年限的承诺函</w:t>
            </w:r>
            <w:r>
              <w:rPr>
                <w:rFonts w:hint="eastAsia" w:ascii="宋体" w:hAnsi="宋体" w:cs="宋体"/>
                <w:b/>
                <w:bCs/>
                <w:color w:val="0000FF"/>
                <w:kern w:val="0"/>
                <w:sz w:val="18"/>
                <w:szCs w:val="18"/>
              </w:rPr>
              <w:t>【如5年/</w:t>
            </w:r>
            <w:r>
              <w:rPr>
                <w:rFonts w:ascii="宋体" w:hAnsi="宋体" w:cs="宋体"/>
                <w:b/>
                <w:bCs/>
                <w:color w:val="0000FF"/>
                <w:kern w:val="0"/>
                <w:sz w:val="18"/>
                <w:szCs w:val="18"/>
              </w:rPr>
              <w:t>10</w:t>
            </w:r>
            <w:r>
              <w:rPr>
                <w:rFonts w:hint="eastAsia" w:ascii="宋体" w:hAnsi="宋体" w:cs="宋体"/>
                <w:b/>
                <w:bCs/>
                <w:color w:val="0000FF"/>
                <w:kern w:val="0"/>
                <w:sz w:val="18"/>
                <w:szCs w:val="18"/>
              </w:rPr>
              <w:t>年</w:t>
            </w:r>
            <w:r>
              <w:rPr>
                <w:rFonts w:ascii="宋体" w:hAnsi="宋体" w:cs="宋体"/>
                <w:b/>
                <w:bCs/>
                <w:color w:val="0000FF"/>
                <w:kern w:val="0"/>
                <w:sz w:val="18"/>
                <w:szCs w:val="18"/>
              </w:rPr>
              <w:t>……</w:t>
            </w:r>
            <w:r>
              <w:rPr>
                <w:rFonts w:hint="eastAsia" w:ascii="宋体" w:hAnsi="宋体" w:cs="宋体"/>
                <w:b/>
                <w:bCs/>
                <w:color w:val="0000FF"/>
                <w:kern w:val="0"/>
                <w:sz w:val="18"/>
                <w:szCs w:val="18"/>
              </w:rPr>
              <w:t>】</w:t>
            </w:r>
            <w:r>
              <w:rPr>
                <w:rFonts w:hint="eastAsia" w:ascii="宋体" w:hAnsi="宋体" w:cs="宋体"/>
                <w:b/>
                <w:bCs/>
                <w:color w:val="000000"/>
                <w:kern w:val="0"/>
                <w:sz w:val="18"/>
                <w:szCs w:val="18"/>
              </w:rPr>
              <w:t>；</w:t>
            </w:r>
          </w:p>
        </w:tc>
        <w:tc>
          <w:tcPr>
            <w:tcW w:w="605" w:type="pct"/>
            <w:vMerge w:val="continue"/>
            <w:tcBorders>
              <w:top w:val="nil"/>
              <w:left w:val="single" w:color="auto" w:sz="4" w:space="0"/>
              <w:bottom w:val="single" w:color="auto" w:sz="4" w:space="0"/>
              <w:right w:val="single" w:color="auto" w:sz="4" w:space="0"/>
            </w:tcBorders>
            <w:vAlign w:val="center"/>
          </w:tcPr>
          <w:p w14:paraId="2C10017C">
            <w:pPr>
              <w:widowControl/>
              <w:wordWrap w:val="0"/>
              <w:spacing w:line="240" w:lineRule="exact"/>
              <w:jc w:val="left"/>
              <w:rPr>
                <w:rFonts w:hint="eastAsia" w:ascii="宋体" w:hAnsi="宋体" w:cs="宋体"/>
                <w:color w:val="000000"/>
                <w:kern w:val="0"/>
                <w:sz w:val="18"/>
                <w:szCs w:val="18"/>
              </w:rPr>
            </w:pPr>
          </w:p>
        </w:tc>
      </w:tr>
      <w:tr w14:paraId="5BF1D557">
        <w:tblPrEx>
          <w:tblCellMar>
            <w:top w:w="0" w:type="dxa"/>
            <w:left w:w="108" w:type="dxa"/>
            <w:bottom w:w="0" w:type="dxa"/>
            <w:right w:w="108" w:type="dxa"/>
          </w:tblCellMar>
        </w:tblPrEx>
        <w:trPr>
          <w:trHeight w:val="20" w:hRule="atLeast"/>
        </w:trPr>
        <w:tc>
          <w:tcPr>
            <w:tcW w:w="161" w:type="pct"/>
            <w:vMerge w:val="continue"/>
            <w:tcBorders>
              <w:top w:val="nil"/>
              <w:left w:val="single" w:color="auto" w:sz="4" w:space="0"/>
              <w:bottom w:val="single" w:color="auto" w:sz="4" w:space="0"/>
              <w:right w:val="single" w:color="auto" w:sz="4" w:space="0"/>
            </w:tcBorders>
            <w:vAlign w:val="center"/>
          </w:tcPr>
          <w:p w14:paraId="43A6C9E7">
            <w:pPr>
              <w:widowControl/>
              <w:wordWrap w:val="0"/>
              <w:spacing w:line="240" w:lineRule="exact"/>
              <w:jc w:val="left"/>
              <w:rPr>
                <w:rFonts w:hint="eastAsia" w:ascii="宋体" w:hAnsi="宋体" w:cs="宋体"/>
                <w:b/>
                <w:bCs/>
                <w:color w:val="000000"/>
                <w:kern w:val="0"/>
                <w:sz w:val="18"/>
                <w:szCs w:val="18"/>
              </w:rPr>
            </w:pPr>
          </w:p>
        </w:tc>
        <w:tc>
          <w:tcPr>
            <w:tcW w:w="412" w:type="pct"/>
            <w:vMerge w:val="continue"/>
            <w:tcBorders>
              <w:top w:val="nil"/>
              <w:left w:val="single" w:color="auto" w:sz="4" w:space="0"/>
              <w:bottom w:val="single" w:color="auto" w:sz="4" w:space="0"/>
              <w:right w:val="single" w:color="auto" w:sz="4" w:space="0"/>
            </w:tcBorders>
            <w:vAlign w:val="center"/>
          </w:tcPr>
          <w:p w14:paraId="709C75DC">
            <w:pPr>
              <w:widowControl/>
              <w:wordWrap w:val="0"/>
              <w:spacing w:line="240" w:lineRule="exact"/>
              <w:jc w:val="left"/>
              <w:rPr>
                <w:rFonts w:hint="eastAsia" w:ascii="宋体" w:hAnsi="宋体" w:cs="宋体"/>
                <w:b/>
                <w:bCs/>
                <w:color w:val="000000"/>
                <w:kern w:val="0"/>
                <w:sz w:val="18"/>
                <w:szCs w:val="18"/>
              </w:rPr>
            </w:pPr>
          </w:p>
        </w:tc>
        <w:tc>
          <w:tcPr>
            <w:tcW w:w="820" w:type="pct"/>
            <w:tcBorders>
              <w:top w:val="nil"/>
              <w:left w:val="nil"/>
              <w:bottom w:val="single" w:color="auto" w:sz="4" w:space="0"/>
              <w:right w:val="single" w:color="auto" w:sz="4" w:space="0"/>
            </w:tcBorders>
            <w:vAlign w:val="center"/>
          </w:tcPr>
          <w:p w14:paraId="3D627C0C">
            <w:pPr>
              <w:widowControl/>
              <w:wordWrap w:val="0"/>
              <w:spacing w:line="240" w:lineRule="exact"/>
              <w:jc w:val="center"/>
              <w:rPr>
                <w:rFonts w:hint="eastAsia" w:ascii="宋体" w:hAnsi="宋体" w:cs="宋体"/>
                <w:b/>
                <w:bCs/>
                <w:color w:val="000000"/>
                <w:kern w:val="0"/>
                <w:sz w:val="18"/>
                <w:szCs w:val="18"/>
              </w:rPr>
            </w:pPr>
            <w:r>
              <w:rPr>
                <w:rFonts w:hint="eastAsia" w:ascii="宋体" w:hAnsi="宋体" w:cs="宋体"/>
                <w:b/>
                <w:bCs/>
                <w:color w:val="000000"/>
                <w:kern w:val="0"/>
                <w:sz w:val="18"/>
                <w:szCs w:val="18"/>
              </w:rPr>
              <w:t>其他</w:t>
            </w:r>
          </w:p>
        </w:tc>
        <w:tc>
          <w:tcPr>
            <w:tcW w:w="325" w:type="pct"/>
            <w:tcBorders>
              <w:top w:val="nil"/>
              <w:left w:val="nil"/>
              <w:bottom w:val="single" w:color="auto" w:sz="4" w:space="0"/>
              <w:right w:val="single" w:color="auto" w:sz="4" w:space="0"/>
            </w:tcBorders>
            <w:vAlign w:val="center"/>
          </w:tcPr>
          <w:p w14:paraId="063DAD68">
            <w:pPr>
              <w:widowControl/>
              <w:wordWrap w:val="0"/>
              <w:spacing w:line="240" w:lineRule="exact"/>
              <w:jc w:val="center"/>
              <w:rPr>
                <w:rFonts w:hint="eastAsia" w:ascii="宋体" w:hAnsi="宋体" w:cs="宋体"/>
                <w:b/>
                <w:bCs/>
                <w:color w:val="000000"/>
                <w:kern w:val="0"/>
                <w:sz w:val="18"/>
                <w:szCs w:val="18"/>
              </w:rPr>
            </w:pPr>
            <w:r>
              <w:rPr>
                <w:rFonts w:hint="eastAsia" w:ascii="宋体" w:hAnsi="宋体" w:cs="宋体"/>
                <w:b/>
                <w:bCs/>
                <w:color w:val="000000"/>
                <w:kern w:val="0"/>
                <w:sz w:val="18"/>
                <w:szCs w:val="18"/>
              </w:rPr>
              <w:t>▲</w:t>
            </w:r>
          </w:p>
        </w:tc>
        <w:tc>
          <w:tcPr>
            <w:tcW w:w="2675" w:type="pct"/>
            <w:tcBorders>
              <w:top w:val="nil"/>
              <w:left w:val="nil"/>
              <w:bottom w:val="single" w:color="auto" w:sz="4" w:space="0"/>
              <w:right w:val="single" w:color="auto" w:sz="4" w:space="0"/>
            </w:tcBorders>
            <w:vAlign w:val="center"/>
          </w:tcPr>
          <w:p w14:paraId="788B14F2">
            <w:pPr>
              <w:widowControl/>
              <w:wordWrap w:val="0"/>
              <w:spacing w:line="240" w:lineRule="exact"/>
              <w:jc w:val="left"/>
              <w:rPr>
                <w:rFonts w:hint="eastAsia" w:ascii="宋体" w:hAnsi="宋体" w:cs="宋体"/>
                <w:b/>
                <w:bCs/>
                <w:color w:val="000000"/>
                <w:kern w:val="0"/>
                <w:sz w:val="18"/>
                <w:szCs w:val="18"/>
              </w:rPr>
            </w:pPr>
            <w:r>
              <w:rPr>
                <w:rFonts w:hint="eastAsia" w:ascii="宋体" w:hAnsi="宋体" w:cs="宋体"/>
                <w:b/>
                <w:bCs/>
                <w:color w:val="000000"/>
                <w:kern w:val="0"/>
                <w:sz w:val="18"/>
                <w:szCs w:val="18"/>
              </w:rPr>
              <w:t>1、承诺配件专卖及按“金龙专用”标识供应售后物料的承诺；</w:t>
            </w:r>
          </w:p>
          <w:p w14:paraId="0AAF6DD2">
            <w:pPr>
              <w:widowControl/>
              <w:wordWrap w:val="0"/>
              <w:spacing w:line="240" w:lineRule="exact"/>
              <w:jc w:val="left"/>
              <w:rPr>
                <w:rFonts w:hint="eastAsia" w:ascii="宋体" w:hAnsi="宋体" w:cs="宋体"/>
                <w:b/>
                <w:bCs/>
                <w:color w:val="000000"/>
                <w:kern w:val="0"/>
                <w:sz w:val="18"/>
                <w:szCs w:val="18"/>
              </w:rPr>
            </w:pPr>
            <w:r>
              <w:rPr>
                <w:rFonts w:hint="eastAsia" w:ascii="宋体" w:hAnsi="宋体" w:cs="宋体"/>
                <w:b/>
                <w:bCs/>
                <w:color w:val="000000"/>
                <w:kern w:val="0"/>
                <w:sz w:val="18"/>
                <w:szCs w:val="18"/>
              </w:rPr>
              <w:t>2、承诺积极配合并在价格及运费方面给予支持；</w:t>
            </w:r>
          </w:p>
          <w:p w14:paraId="0714C5F8">
            <w:pPr>
              <w:widowControl/>
              <w:wordWrap w:val="0"/>
              <w:spacing w:line="240" w:lineRule="exact"/>
              <w:jc w:val="left"/>
              <w:rPr>
                <w:rFonts w:hint="eastAsia" w:ascii="宋体" w:hAnsi="宋体" w:cs="宋体"/>
                <w:b/>
                <w:bCs/>
                <w:color w:val="000000"/>
                <w:kern w:val="0"/>
                <w:sz w:val="18"/>
                <w:szCs w:val="18"/>
              </w:rPr>
            </w:pPr>
            <w:r>
              <w:rPr>
                <w:rFonts w:ascii="宋体" w:hAnsi="宋体" w:cs="宋体"/>
                <w:b/>
                <w:bCs/>
                <w:color w:val="000000"/>
                <w:kern w:val="0"/>
                <w:sz w:val="18"/>
                <w:szCs w:val="18"/>
              </w:rPr>
              <w:t>3</w:t>
            </w:r>
            <w:r>
              <w:rPr>
                <w:rFonts w:hint="eastAsia" w:ascii="宋体" w:hAnsi="宋体" w:cs="宋体"/>
                <w:b/>
                <w:bCs/>
                <w:color w:val="000000"/>
                <w:kern w:val="0"/>
                <w:sz w:val="18"/>
                <w:szCs w:val="18"/>
              </w:rPr>
              <w:t>、对于售后配件，承诺价格为不高于价格体系最低价；</w:t>
            </w:r>
          </w:p>
          <w:p w14:paraId="0B0F77B9">
            <w:pPr>
              <w:widowControl/>
              <w:wordWrap w:val="0"/>
              <w:spacing w:line="240" w:lineRule="exact"/>
              <w:jc w:val="left"/>
              <w:rPr>
                <w:rFonts w:hint="eastAsia" w:ascii="宋体" w:hAnsi="宋体" w:cs="宋体"/>
                <w:b/>
                <w:bCs/>
                <w:color w:val="000000"/>
                <w:kern w:val="0"/>
                <w:sz w:val="18"/>
                <w:szCs w:val="18"/>
              </w:rPr>
            </w:pPr>
            <w:r>
              <w:rPr>
                <w:rFonts w:hint="eastAsia" w:ascii="宋体" w:hAnsi="宋体" w:cs="宋体"/>
                <w:b/>
                <w:bCs/>
                <w:color w:val="000000"/>
                <w:kern w:val="0"/>
                <w:sz w:val="18"/>
                <w:szCs w:val="18"/>
              </w:rPr>
              <w:t>4、对于当年采购的积压配件，承诺可以按当年采购价进行退、换货等；</w:t>
            </w:r>
          </w:p>
        </w:tc>
        <w:tc>
          <w:tcPr>
            <w:tcW w:w="605" w:type="pct"/>
            <w:vMerge w:val="continue"/>
            <w:tcBorders>
              <w:top w:val="nil"/>
              <w:left w:val="single" w:color="auto" w:sz="4" w:space="0"/>
              <w:bottom w:val="single" w:color="auto" w:sz="4" w:space="0"/>
              <w:right w:val="single" w:color="auto" w:sz="4" w:space="0"/>
            </w:tcBorders>
            <w:vAlign w:val="center"/>
          </w:tcPr>
          <w:p w14:paraId="6B70A834">
            <w:pPr>
              <w:widowControl/>
              <w:wordWrap w:val="0"/>
              <w:spacing w:line="240" w:lineRule="exact"/>
              <w:jc w:val="left"/>
              <w:rPr>
                <w:rFonts w:hint="eastAsia" w:ascii="宋体" w:hAnsi="宋体" w:cs="宋体"/>
                <w:color w:val="000000"/>
                <w:kern w:val="0"/>
                <w:sz w:val="18"/>
                <w:szCs w:val="18"/>
              </w:rPr>
            </w:pPr>
          </w:p>
        </w:tc>
      </w:tr>
      <w:bookmarkEnd w:id="30"/>
      <w:bookmarkEnd w:id="11"/>
    </w:tbl>
    <w:p w14:paraId="2454F783">
      <w:pPr>
        <w:wordWrap w:val="0"/>
        <w:spacing w:line="360" w:lineRule="auto"/>
        <w:rPr>
          <w:rFonts w:hint="eastAsia" w:ascii="宋体" w:hAnsi="宋体"/>
          <w:b/>
          <w:bCs/>
          <w:sz w:val="24"/>
          <w:szCs w:val="24"/>
        </w:rPr>
      </w:pPr>
    </w:p>
    <w:p w14:paraId="6F7B7E5A">
      <w:pPr>
        <w:widowControl/>
        <w:wordWrap w:val="0"/>
        <w:jc w:val="left"/>
        <w:outlineLvl w:val="1"/>
        <w:rPr>
          <w:rFonts w:hint="eastAsia" w:ascii="宋体" w:hAnsi="宋体"/>
          <w:b/>
          <w:bCs/>
          <w:sz w:val="24"/>
          <w:szCs w:val="24"/>
        </w:rPr>
        <w:sectPr>
          <w:pgSz w:w="16838" w:h="11906" w:orient="landscape"/>
          <w:pgMar w:top="1134" w:right="1134" w:bottom="851" w:left="1134" w:header="851" w:footer="992" w:gutter="0"/>
          <w:cols w:space="425" w:num="1"/>
          <w:docGrid w:type="lines" w:linePitch="312" w:charSpace="0"/>
        </w:sectPr>
      </w:pPr>
    </w:p>
    <w:p w14:paraId="64F7C374">
      <w:pPr>
        <w:widowControl/>
        <w:wordWrap w:val="0"/>
        <w:jc w:val="left"/>
        <w:outlineLvl w:val="1"/>
        <w:rPr>
          <w:rFonts w:hint="eastAsia" w:ascii="宋体" w:hAnsi="宋体"/>
          <w:b/>
          <w:bCs/>
          <w:sz w:val="24"/>
          <w:szCs w:val="24"/>
        </w:rPr>
      </w:pPr>
      <w:bookmarkStart w:id="29" w:name="OLE_LINK11"/>
      <w:r>
        <w:rPr>
          <w:rFonts w:hint="eastAsia" w:ascii="宋体" w:hAnsi="宋体"/>
          <w:b/>
          <w:bCs/>
          <w:sz w:val="24"/>
          <w:szCs w:val="24"/>
        </w:rPr>
        <w:t>表二：供应商商务价格评审项目/评分标准</w:t>
      </w:r>
    </w:p>
    <w:tbl>
      <w:tblPr>
        <w:tblStyle w:val="10"/>
        <w:tblW w:w="14454" w:type="dxa"/>
        <w:tblInd w:w="0" w:type="dxa"/>
        <w:tblLayout w:type="fixed"/>
        <w:tblCellMar>
          <w:top w:w="0" w:type="dxa"/>
          <w:left w:w="108" w:type="dxa"/>
          <w:bottom w:w="0" w:type="dxa"/>
          <w:right w:w="108" w:type="dxa"/>
        </w:tblCellMar>
      </w:tblPr>
      <w:tblGrid>
        <w:gridCol w:w="505"/>
        <w:gridCol w:w="1191"/>
        <w:gridCol w:w="2268"/>
        <w:gridCol w:w="993"/>
        <w:gridCol w:w="4961"/>
        <w:gridCol w:w="2835"/>
        <w:gridCol w:w="1701"/>
      </w:tblGrid>
      <w:tr w14:paraId="11974646">
        <w:tblPrEx>
          <w:tblCellMar>
            <w:top w:w="0" w:type="dxa"/>
            <w:left w:w="108" w:type="dxa"/>
            <w:bottom w:w="0" w:type="dxa"/>
            <w:right w:w="108" w:type="dxa"/>
          </w:tblCellMar>
        </w:tblPrEx>
        <w:trPr>
          <w:trHeight w:val="532" w:hRule="atLeast"/>
        </w:trPr>
        <w:tc>
          <w:tcPr>
            <w:tcW w:w="505" w:type="dxa"/>
            <w:tcBorders>
              <w:top w:val="single" w:color="auto" w:sz="4" w:space="0"/>
              <w:left w:val="single" w:color="auto" w:sz="4" w:space="0"/>
              <w:bottom w:val="single" w:color="auto" w:sz="4" w:space="0"/>
              <w:right w:val="single" w:color="auto" w:sz="4" w:space="0"/>
            </w:tcBorders>
            <w:shd w:val="clear" w:color="auto" w:fill="D8D8D8" w:themeFill="background1" w:themeFillShade="D9"/>
            <w:noWrap/>
            <w:vAlign w:val="center"/>
          </w:tcPr>
          <w:p w14:paraId="13BC2AE6">
            <w:pPr>
              <w:widowControl/>
              <w:wordWrap w:val="0"/>
              <w:spacing w:line="200" w:lineRule="exact"/>
              <w:jc w:val="center"/>
              <w:rPr>
                <w:rFonts w:hint="eastAsia" w:ascii="宋体" w:hAnsi="宋体" w:cs="宋体"/>
                <w:b/>
                <w:bCs/>
                <w:color w:val="000000"/>
                <w:kern w:val="0"/>
                <w:sz w:val="18"/>
                <w:szCs w:val="18"/>
              </w:rPr>
            </w:pPr>
            <w:r>
              <w:rPr>
                <w:rFonts w:hint="eastAsia" w:ascii="宋体" w:hAnsi="宋体" w:cs="宋体"/>
                <w:b/>
                <w:bCs/>
                <w:color w:val="000000"/>
                <w:kern w:val="0"/>
                <w:sz w:val="18"/>
                <w:szCs w:val="18"/>
              </w:rPr>
              <w:t>序</w:t>
            </w:r>
          </w:p>
        </w:tc>
        <w:tc>
          <w:tcPr>
            <w:tcW w:w="1191" w:type="dxa"/>
            <w:tcBorders>
              <w:top w:val="single" w:color="auto" w:sz="4" w:space="0"/>
              <w:left w:val="single" w:color="auto" w:sz="4" w:space="0"/>
              <w:bottom w:val="single" w:color="auto" w:sz="4" w:space="0"/>
              <w:right w:val="single" w:color="auto" w:sz="4" w:space="0"/>
            </w:tcBorders>
            <w:shd w:val="clear" w:color="auto" w:fill="D8D8D8" w:themeFill="background1" w:themeFillShade="D9"/>
            <w:vAlign w:val="center"/>
          </w:tcPr>
          <w:p w14:paraId="34C678B8">
            <w:pPr>
              <w:widowControl/>
              <w:wordWrap w:val="0"/>
              <w:spacing w:line="200" w:lineRule="exact"/>
              <w:jc w:val="center"/>
              <w:rPr>
                <w:rFonts w:hint="eastAsia" w:ascii="宋体" w:hAnsi="宋体" w:cs="宋体"/>
                <w:b/>
                <w:bCs/>
                <w:color w:val="000000"/>
                <w:kern w:val="0"/>
                <w:sz w:val="18"/>
                <w:szCs w:val="18"/>
              </w:rPr>
            </w:pPr>
            <w:r>
              <w:rPr>
                <w:rFonts w:hint="eastAsia" w:ascii="宋体" w:hAnsi="宋体" w:cs="宋体"/>
                <w:b/>
                <w:bCs/>
                <w:color w:val="000000"/>
                <w:kern w:val="0"/>
                <w:sz w:val="18"/>
                <w:szCs w:val="18"/>
              </w:rPr>
              <w:t>评审方向</w:t>
            </w:r>
          </w:p>
        </w:tc>
        <w:tc>
          <w:tcPr>
            <w:tcW w:w="2268" w:type="dxa"/>
            <w:tcBorders>
              <w:top w:val="single" w:color="auto" w:sz="4" w:space="0"/>
              <w:left w:val="single" w:color="auto" w:sz="4" w:space="0"/>
              <w:bottom w:val="single" w:color="auto" w:sz="4" w:space="0"/>
              <w:right w:val="single" w:color="auto" w:sz="4" w:space="0"/>
            </w:tcBorders>
            <w:shd w:val="clear" w:color="auto" w:fill="D8D8D8" w:themeFill="background1" w:themeFillShade="D9"/>
            <w:vAlign w:val="center"/>
          </w:tcPr>
          <w:p w14:paraId="3D120967">
            <w:pPr>
              <w:widowControl/>
              <w:wordWrap w:val="0"/>
              <w:spacing w:line="200" w:lineRule="exact"/>
              <w:jc w:val="center"/>
              <w:rPr>
                <w:rFonts w:hint="eastAsia" w:ascii="宋体" w:hAnsi="宋体" w:cs="宋体"/>
                <w:b/>
                <w:bCs/>
                <w:color w:val="000000"/>
                <w:kern w:val="0"/>
                <w:sz w:val="18"/>
                <w:szCs w:val="18"/>
              </w:rPr>
            </w:pPr>
            <w:r>
              <w:rPr>
                <w:rFonts w:hint="eastAsia" w:ascii="宋体" w:hAnsi="宋体" w:cs="宋体"/>
                <w:b/>
                <w:bCs/>
                <w:color w:val="000000"/>
                <w:kern w:val="0"/>
                <w:sz w:val="18"/>
                <w:szCs w:val="18"/>
              </w:rPr>
              <w:t>评审内容</w:t>
            </w:r>
          </w:p>
        </w:tc>
        <w:tc>
          <w:tcPr>
            <w:tcW w:w="993" w:type="dxa"/>
            <w:tcBorders>
              <w:top w:val="single" w:color="auto" w:sz="4" w:space="0"/>
              <w:left w:val="single" w:color="auto" w:sz="4" w:space="0"/>
              <w:bottom w:val="single" w:color="auto" w:sz="4" w:space="0"/>
              <w:right w:val="single" w:color="auto" w:sz="4" w:space="0"/>
            </w:tcBorders>
            <w:shd w:val="clear" w:color="auto" w:fill="D8D8D8" w:themeFill="background1" w:themeFillShade="D9"/>
            <w:noWrap/>
            <w:vAlign w:val="center"/>
          </w:tcPr>
          <w:p w14:paraId="77FF9718">
            <w:pPr>
              <w:widowControl/>
              <w:wordWrap w:val="0"/>
              <w:spacing w:line="200" w:lineRule="exact"/>
              <w:jc w:val="center"/>
              <w:rPr>
                <w:rFonts w:hint="eastAsia" w:ascii="宋体" w:hAnsi="宋体" w:cs="宋体"/>
                <w:b/>
                <w:bCs/>
                <w:color w:val="000000"/>
                <w:kern w:val="0"/>
                <w:sz w:val="18"/>
                <w:szCs w:val="18"/>
              </w:rPr>
            </w:pPr>
            <w:r>
              <w:rPr>
                <w:rFonts w:hint="eastAsia" w:ascii="宋体" w:hAnsi="宋体" w:cs="宋体"/>
                <w:b/>
                <w:bCs/>
                <w:color w:val="000000"/>
                <w:kern w:val="0"/>
                <w:sz w:val="18"/>
                <w:szCs w:val="18"/>
              </w:rPr>
              <w:t>必选★/可选▲</w:t>
            </w:r>
          </w:p>
        </w:tc>
        <w:tc>
          <w:tcPr>
            <w:tcW w:w="4961" w:type="dxa"/>
            <w:tcBorders>
              <w:top w:val="single" w:color="auto" w:sz="4" w:space="0"/>
              <w:left w:val="nil"/>
              <w:bottom w:val="single" w:color="auto" w:sz="4" w:space="0"/>
              <w:right w:val="single" w:color="auto" w:sz="4" w:space="0"/>
            </w:tcBorders>
            <w:shd w:val="clear" w:color="auto" w:fill="D8D8D8" w:themeFill="background1" w:themeFillShade="D9"/>
            <w:vAlign w:val="center"/>
          </w:tcPr>
          <w:p w14:paraId="23547C64">
            <w:pPr>
              <w:widowControl/>
              <w:wordWrap w:val="0"/>
              <w:spacing w:line="200" w:lineRule="exact"/>
              <w:jc w:val="center"/>
              <w:rPr>
                <w:rFonts w:hint="eastAsia" w:ascii="宋体" w:hAnsi="宋体" w:cs="宋体"/>
                <w:b/>
                <w:bCs/>
                <w:color w:val="0000FF"/>
                <w:kern w:val="0"/>
                <w:sz w:val="18"/>
                <w:szCs w:val="18"/>
              </w:rPr>
            </w:pPr>
            <w:r>
              <w:rPr>
                <w:rFonts w:hint="eastAsia" w:ascii="宋体" w:hAnsi="宋体" w:cs="宋体"/>
                <w:b/>
                <w:bCs/>
                <w:color w:val="000000"/>
                <w:kern w:val="0"/>
                <w:sz w:val="18"/>
                <w:szCs w:val="18"/>
              </w:rPr>
              <w:t>评审标准</w:t>
            </w:r>
          </w:p>
        </w:tc>
        <w:tc>
          <w:tcPr>
            <w:tcW w:w="2835" w:type="dxa"/>
            <w:tcBorders>
              <w:top w:val="single" w:color="auto" w:sz="4" w:space="0"/>
              <w:left w:val="single" w:color="auto" w:sz="4" w:space="0"/>
              <w:bottom w:val="single" w:color="auto" w:sz="4" w:space="0"/>
              <w:right w:val="single" w:color="auto" w:sz="4" w:space="0"/>
            </w:tcBorders>
            <w:shd w:val="clear" w:color="auto" w:fill="D8D8D8" w:themeFill="background1" w:themeFillShade="D9"/>
            <w:noWrap/>
            <w:vAlign w:val="center"/>
          </w:tcPr>
          <w:p w14:paraId="7B34C7CA">
            <w:pPr>
              <w:widowControl/>
              <w:wordWrap w:val="0"/>
              <w:spacing w:line="200" w:lineRule="exact"/>
              <w:jc w:val="center"/>
              <w:rPr>
                <w:rFonts w:hint="eastAsia" w:ascii="宋体" w:hAnsi="宋体" w:cs="宋体"/>
                <w:b/>
                <w:bCs/>
                <w:color w:val="000000"/>
                <w:kern w:val="0"/>
                <w:sz w:val="18"/>
                <w:szCs w:val="18"/>
              </w:rPr>
            </w:pPr>
            <w:r>
              <w:rPr>
                <w:rFonts w:hint="eastAsia" w:ascii="宋体" w:hAnsi="宋体" w:cs="宋体"/>
                <w:b/>
                <w:bCs/>
                <w:color w:val="000000"/>
                <w:kern w:val="0"/>
                <w:sz w:val="18"/>
                <w:szCs w:val="18"/>
              </w:rPr>
              <w:t>说明</w:t>
            </w:r>
            <w:r>
              <w:rPr>
                <w:rFonts w:hint="eastAsia" w:ascii="宋体" w:hAnsi="宋体" w:cs="宋体"/>
                <w:b/>
                <w:bCs/>
                <w:color w:val="FF0000"/>
                <w:kern w:val="0"/>
                <w:sz w:val="18"/>
                <w:szCs w:val="18"/>
              </w:rPr>
              <w:t>（面向供应商）</w:t>
            </w:r>
          </w:p>
        </w:tc>
        <w:tc>
          <w:tcPr>
            <w:tcW w:w="1701" w:type="dxa"/>
            <w:tcBorders>
              <w:top w:val="single" w:color="auto" w:sz="4" w:space="0"/>
              <w:left w:val="single" w:color="auto" w:sz="4" w:space="0"/>
              <w:bottom w:val="single" w:color="auto" w:sz="4" w:space="0"/>
              <w:right w:val="single" w:color="auto" w:sz="4" w:space="0"/>
            </w:tcBorders>
            <w:shd w:val="clear" w:color="auto" w:fill="D8D8D8" w:themeFill="background1" w:themeFillShade="D9"/>
            <w:vAlign w:val="center"/>
          </w:tcPr>
          <w:p w14:paraId="4E4A6852">
            <w:pPr>
              <w:widowControl/>
              <w:wordWrap w:val="0"/>
              <w:spacing w:line="240" w:lineRule="exact"/>
              <w:jc w:val="center"/>
              <w:rPr>
                <w:rFonts w:hint="eastAsia" w:ascii="宋体" w:hAnsi="宋体" w:cs="宋体"/>
                <w:b/>
                <w:bCs/>
                <w:color w:val="000000"/>
                <w:kern w:val="0"/>
                <w:sz w:val="18"/>
                <w:szCs w:val="18"/>
              </w:rPr>
            </w:pPr>
            <w:r>
              <w:rPr>
                <w:rFonts w:hint="eastAsia" w:ascii="宋体" w:hAnsi="宋体" w:cs="宋体"/>
                <w:b/>
                <w:bCs/>
                <w:color w:val="000000"/>
                <w:kern w:val="0"/>
                <w:sz w:val="18"/>
                <w:szCs w:val="18"/>
              </w:rPr>
              <w:t>备注</w:t>
            </w:r>
          </w:p>
          <w:p w14:paraId="32E18AD1">
            <w:pPr>
              <w:widowControl/>
              <w:wordWrap w:val="0"/>
              <w:spacing w:line="200" w:lineRule="exact"/>
              <w:jc w:val="center"/>
              <w:rPr>
                <w:rFonts w:hint="eastAsia" w:ascii="宋体" w:hAnsi="宋体" w:cs="宋体"/>
                <w:b/>
                <w:bCs/>
                <w:color w:val="000000"/>
                <w:kern w:val="0"/>
                <w:sz w:val="18"/>
                <w:szCs w:val="18"/>
              </w:rPr>
            </w:pPr>
            <w:r>
              <w:rPr>
                <w:rFonts w:hint="eastAsia" w:ascii="宋体" w:hAnsi="宋体" w:cs="宋体"/>
                <w:b/>
                <w:bCs/>
                <w:color w:val="FF0000"/>
                <w:kern w:val="0"/>
                <w:sz w:val="18"/>
                <w:szCs w:val="18"/>
              </w:rPr>
              <w:t>（和相关部门确认制定后删除该列）</w:t>
            </w:r>
          </w:p>
        </w:tc>
      </w:tr>
      <w:tr w14:paraId="198214F7">
        <w:tblPrEx>
          <w:tblCellMar>
            <w:top w:w="0" w:type="dxa"/>
            <w:left w:w="108" w:type="dxa"/>
            <w:bottom w:w="0" w:type="dxa"/>
            <w:right w:w="108" w:type="dxa"/>
          </w:tblCellMar>
        </w:tblPrEx>
        <w:trPr>
          <w:trHeight w:val="978" w:hRule="atLeast"/>
        </w:trPr>
        <w:tc>
          <w:tcPr>
            <w:tcW w:w="505" w:type="dxa"/>
            <w:tcBorders>
              <w:top w:val="single" w:color="auto" w:sz="4" w:space="0"/>
              <w:left w:val="single" w:color="auto" w:sz="4" w:space="0"/>
              <w:bottom w:val="single" w:color="auto" w:sz="4" w:space="0"/>
              <w:right w:val="single" w:color="auto" w:sz="4" w:space="0"/>
            </w:tcBorders>
            <w:noWrap/>
            <w:vAlign w:val="center"/>
          </w:tcPr>
          <w:p w14:paraId="5868AE24">
            <w:pPr>
              <w:widowControl/>
              <w:wordWrap w:val="0"/>
              <w:spacing w:line="240" w:lineRule="exact"/>
              <w:jc w:val="center"/>
              <w:rPr>
                <w:rFonts w:hint="eastAsia" w:ascii="宋体" w:hAnsi="宋体" w:cs="宋体"/>
                <w:b/>
                <w:bCs/>
                <w:color w:val="000000"/>
                <w:kern w:val="0"/>
                <w:sz w:val="18"/>
                <w:szCs w:val="18"/>
              </w:rPr>
            </w:pPr>
            <w:r>
              <w:rPr>
                <w:rFonts w:hint="eastAsia" w:ascii="宋体" w:hAnsi="宋体" w:cs="宋体"/>
                <w:b/>
                <w:bCs/>
                <w:color w:val="000000"/>
                <w:kern w:val="0"/>
                <w:sz w:val="18"/>
                <w:szCs w:val="18"/>
              </w:rPr>
              <w:t>5</w:t>
            </w:r>
          </w:p>
        </w:tc>
        <w:tc>
          <w:tcPr>
            <w:tcW w:w="1191" w:type="dxa"/>
            <w:tcBorders>
              <w:top w:val="single" w:color="auto" w:sz="4" w:space="0"/>
              <w:left w:val="single" w:color="auto" w:sz="4" w:space="0"/>
              <w:bottom w:val="single" w:color="auto" w:sz="4" w:space="0"/>
              <w:right w:val="single" w:color="auto" w:sz="4" w:space="0"/>
            </w:tcBorders>
            <w:vAlign w:val="center"/>
          </w:tcPr>
          <w:p w14:paraId="42ED78BD">
            <w:pPr>
              <w:widowControl/>
              <w:wordWrap w:val="0"/>
              <w:spacing w:line="240" w:lineRule="exact"/>
              <w:jc w:val="center"/>
              <w:rPr>
                <w:rFonts w:hint="eastAsia" w:ascii="宋体" w:hAnsi="宋体" w:cs="宋体"/>
                <w:b/>
                <w:bCs/>
                <w:color w:val="000000"/>
                <w:kern w:val="0"/>
                <w:sz w:val="18"/>
                <w:szCs w:val="18"/>
              </w:rPr>
            </w:pPr>
            <w:r>
              <w:rPr>
                <w:rFonts w:hint="eastAsia" w:ascii="宋体" w:hAnsi="宋体" w:cs="宋体"/>
                <w:b/>
                <w:bCs/>
                <w:color w:val="000000"/>
                <w:kern w:val="0"/>
                <w:sz w:val="18"/>
                <w:szCs w:val="18"/>
              </w:rPr>
              <w:t>价格C</w:t>
            </w:r>
          </w:p>
        </w:tc>
        <w:tc>
          <w:tcPr>
            <w:tcW w:w="2268" w:type="dxa"/>
            <w:tcBorders>
              <w:top w:val="single" w:color="auto" w:sz="4" w:space="0"/>
              <w:left w:val="single" w:color="auto" w:sz="4" w:space="0"/>
              <w:bottom w:val="single" w:color="auto" w:sz="4" w:space="0"/>
              <w:right w:val="single" w:color="auto" w:sz="4" w:space="0"/>
            </w:tcBorders>
            <w:vAlign w:val="center"/>
          </w:tcPr>
          <w:p w14:paraId="2B3DC673">
            <w:pPr>
              <w:widowControl/>
              <w:wordWrap w:val="0"/>
              <w:spacing w:line="240" w:lineRule="exact"/>
              <w:jc w:val="center"/>
              <w:rPr>
                <w:rFonts w:hint="eastAsia" w:ascii="宋体" w:hAnsi="宋体" w:cs="宋体"/>
                <w:b/>
                <w:bCs/>
                <w:color w:val="000000"/>
                <w:kern w:val="0"/>
                <w:sz w:val="18"/>
                <w:szCs w:val="18"/>
              </w:rPr>
            </w:pPr>
            <w:r>
              <w:rPr>
                <w:rFonts w:hint="eastAsia" w:ascii="宋体" w:hAnsi="宋体" w:cs="宋体"/>
                <w:b/>
                <w:bCs/>
                <w:color w:val="000000"/>
                <w:kern w:val="0"/>
                <w:sz w:val="18"/>
                <w:szCs w:val="18"/>
              </w:rPr>
              <w:t>配套物料价格/提供设计&amp;服务价格</w:t>
            </w:r>
          </w:p>
        </w:tc>
        <w:tc>
          <w:tcPr>
            <w:tcW w:w="993" w:type="dxa"/>
            <w:tcBorders>
              <w:top w:val="single" w:color="auto" w:sz="4" w:space="0"/>
              <w:left w:val="single" w:color="auto" w:sz="4" w:space="0"/>
              <w:bottom w:val="single" w:color="auto" w:sz="4" w:space="0"/>
              <w:right w:val="single" w:color="auto" w:sz="4" w:space="0"/>
            </w:tcBorders>
            <w:noWrap/>
            <w:vAlign w:val="center"/>
          </w:tcPr>
          <w:p w14:paraId="7BF2F0CE">
            <w:pPr>
              <w:widowControl/>
              <w:wordWrap w:val="0"/>
              <w:spacing w:line="240" w:lineRule="exact"/>
              <w:jc w:val="center"/>
              <w:rPr>
                <w:rFonts w:hint="eastAsia" w:ascii="宋体" w:hAnsi="宋体" w:cs="宋体"/>
                <w:color w:val="000000"/>
                <w:kern w:val="0"/>
                <w:sz w:val="18"/>
                <w:szCs w:val="18"/>
              </w:rPr>
            </w:pPr>
            <w:r>
              <w:rPr>
                <w:rFonts w:hint="eastAsia" w:ascii="宋体" w:hAnsi="宋体" w:cs="宋体"/>
                <w:b/>
                <w:bCs/>
                <w:color w:val="000000"/>
                <w:kern w:val="0"/>
                <w:sz w:val="18"/>
                <w:szCs w:val="18"/>
              </w:rPr>
              <w:t>★</w:t>
            </w:r>
          </w:p>
        </w:tc>
        <w:tc>
          <w:tcPr>
            <w:tcW w:w="4961" w:type="dxa"/>
            <w:tcBorders>
              <w:top w:val="single" w:color="auto" w:sz="4" w:space="0"/>
              <w:left w:val="nil"/>
              <w:bottom w:val="single" w:color="auto" w:sz="4" w:space="0"/>
              <w:right w:val="single" w:color="auto" w:sz="4" w:space="0"/>
            </w:tcBorders>
            <w:vAlign w:val="center"/>
          </w:tcPr>
          <w:p w14:paraId="320D1688">
            <w:pPr>
              <w:widowControl/>
              <w:wordWrap w:val="0"/>
              <w:spacing w:line="240" w:lineRule="exact"/>
              <w:jc w:val="left"/>
              <w:rPr>
                <w:rFonts w:hint="eastAsia" w:ascii="宋体" w:hAnsi="宋体" w:cs="宋体"/>
                <w:b/>
                <w:bCs/>
                <w:color w:val="0000FF"/>
                <w:kern w:val="0"/>
                <w:sz w:val="18"/>
                <w:szCs w:val="18"/>
              </w:rPr>
            </w:pPr>
            <w:r>
              <w:rPr>
                <w:rFonts w:hint="eastAsia" w:ascii="宋体" w:hAnsi="宋体" w:cs="宋体"/>
                <w:b/>
                <w:bCs/>
                <w:color w:val="000000" w:themeColor="text1"/>
                <w:kern w:val="0"/>
                <w:sz w:val="18"/>
                <w:szCs w:val="18"/>
                <w14:textFill>
                  <w14:solidFill>
                    <w14:schemeClr w14:val="tx1"/>
                  </w14:solidFill>
                </w14:textFill>
              </w:rPr>
              <w:t>比值法：</w:t>
            </w:r>
            <w:r>
              <w:rPr>
                <w:rFonts w:hint="eastAsia" w:ascii="宋体" w:hAnsi="宋体" w:cs="宋体"/>
                <w:b/>
                <w:bCs/>
                <w:color w:val="0000FF"/>
                <w:kern w:val="0"/>
                <w:sz w:val="18"/>
                <w:szCs w:val="18"/>
              </w:rPr>
              <w:t>满足招标文件要求且投标价格最低的投标报价作为评标基准价，其价格分为满分；投标报价得分=（评标基准价/投标报价）*100</w:t>
            </w:r>
          </w:p>
        </w:tc>
        <w:tc>
          <w:tcPr>
            <w:tcW w:w="2835" w:type="dxa"/>
            <w:tcBorders>
              <w:top w:val="single" w:color="auto" w:sz="4" w:space="0"/>
              <w:left w:val="single" w:color="auto" w:sz="4" w:space="0"/>
              <w:bottom w:val="single" w:color="auto" w:sz="4" w:space="0"/>
              <w:right w:val="single" w:color="auto" w:sz="4" w:space="0"/>
            </w:tcBorders>
            <w:noWrap/>
            <w:vAlign w:val="center"/>
          </w:tcPr>
          <w:p w14:paraId="73841525">
            <w:pPr>
              <w:widowControl/>
              <w:wordWrap w:val="0"/>
              <w:spacing w:line="240" w:lineRule="exact"/>
              <w:jc w:val="left"/>
              <w:rPr>
                <w:rFonts w:hint="eastAsia" w:ascii="宋体" w:hAnsi="宋体" w:cs="宋体"/>
                <w:b/>
                <w:bCs/>
                <w:color w:val="000000"/>
                <w:kern w:val="0"/>
                <w:sz w:val="18"/>
                <w:szCs w:val="18"/>
              </w:rPr>
            </w:pPr>
            <w:r>
              <w:rPr>
                <w:rFonts w:hint="eastAsia" w:ascii="宋体" w:hAnsi="宋体" w:cs="宋体"/>
                <w:b/>
                <w:bCs/>
                <w:color w:val="000000"/>
                <w:kern w:val="0"/>
                <w:sz w:val="18"/>
                <w:szCs w:val="18"/>
              </w:rPr>
              <w:t>投标报价一览表所涉及的项目总价（</w:t>
            </w:r>
            <w:r>
              <w:rPr>
                <w:rFonts w:hint="eastAsia" w:ascii="宋体" w:hAnsi="宋体" w:cs="宋体"/>
                <w:b/>
                <w:bCs/>
                <w:color w:val="0000FF"/>
                <w:kern w:val="0"/>
                <w:sz w:val="18"/>
                <w:szCs w:val="18"/>
              </w:rPr>
              <w:t>不含税/含税</w:t>
            </w:r>
            <w:r>
              <w:rPr>
                <w:rFonts w:hint="eastAsia" w:ascii="宋体" w:hAnsi="宋体" w:cs="宋体"/>
                <w:b/>
                <w:bCs/>
                <w:color w:val="000000"/>
                <w:kern w:val="0"/>
                <w:sz w:val="18"/>
                <w:szCs w:val="18"/>
              </w:rPr>
              <w:t>）</w:t>
            </w:r>
          </w:p>
          <w:p w14:paraId="3B263773">
            <w:pPr>
              <w:widowControl/>
              <w:wordWrap w:val="0"/>
              <w:spacing w:line="240" w:lineRule="exact"/>
              <w:jc w:val="left"/>
              <w:rPr>
                <w:rFonts w:hint="eastAsia" w:ascii="宋体" w:hAnsi="宋体" w:cs="宋体"/>
                <w:b/>
                <w:bCs/>
                <w:color w:val="000000"/>
                <w:kern w:val="0"/>
                <w:sz w:val="18"/>
                <w:szCs w:val="18"/>
              </w:rPr>
            </w:pPr>
            <w:r>
              <w:rPr>
                <w:rFonts w:hint="eastAsia" w:ascii="宋体" w:hAnsi="宋体" w:cs="宋体"/>
                <w:b/>
                <w:bCs/>
                <w:color w:val="000000"/>
                <w:kern w:val="0"/>
                <w:sz w:val="18"/>
                <w:szCs w:val="18"/>
              </w:rPr>
              <w:t>各分项报价保留小数点后2位有效数字</w:t>
            </w:r>
          </w:p>
        </w:tc>
        <w:tc>
          <w:tcPr>
            <w:tcW w:w="1701" w:type="dxa"/>
            <w:tcBorders>
              <w:top w:val="single" w:color="auto" w:sz="4" w:space="0"/>
              <w:left w:val="single" w:color="auto" w:sz="4" w:space="0"/>
              <w:bottom w:val="single" w:color="auto" w:sz="4" w:space="0"/>
              <w:right w:val="single" w:color="auto" w:sz="4" w:space="0"/>
            </w:tcBorders>
            <w:vAlign w:val="center"/>
          </w:tcPr>
          <w:p w14:paraId="4429FAAA">
            <w:pPr>
              <w:widowControl/>
              <w:wordWrap w:val="0"/>
              <w:spacing w:line="240" w:lineRule="exact"/>
              <w:jc w:val="center"/>
              <w:rPr>
                <w:rFonts w:hint="eastAsia" w:ascii="宋体" w:hAnsi="宋体" w:cs="宋体"/>
                <w:b/>
                <w:bCs/>
                <w:color w:val="000000"/>
                <w:kern w:val="0"/>
                <w:sz w:val="18"/>
                <w:szCs w:val="18"/>
              </w:rPr>
            </w:pPr>
            <w:r>
              <w:rPr>
                <w:rFonts w:hint="eastAsia" w:ascii="宋体" w:hAnsi="宋体" w:cs="宋体"/>
                <w:b/>
                <w:bCs/>
                <w:color w:val="FF0000"/>
                <w:kern w:val="0"/>
                <w:sz w:val="18"/>
                <w:szCs w:val="18"/>
              </w:rPr>
              <w:t>由财务/采购部门补充提出评审内容/评分标准/评审方法（按项目及实际情况分档或者其他评分评审方式）</w:t>
            </w:r>
          </w:p>
        </w:tc>
      </w:tr>
      <w:bookmarkEnd w:id="29"/>
    </w:tbl>
    <w:p w14:paraId="079AD10F">
      <w:pPr>
        <w:rPr>
          <w:rFonts w:hint="eastAsia" w:ascii="等线" w:hAnsi="等线" w:eastAsia="等线"/>
          <w:b/>
          <w:bCs/>
          <w:sz w:val="18"/>
          <w:szCs w:val="18"/>
        </w:rPr>
      </w:pPr>
    </w:p>
    <w:sectPr>
      <w:pgSz w:w="16838" w:h="11906" w:orient="landscape"/>
      <w:pgMar w:top="1134" w:right="1134" w:bottom="851" w:left="1134"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9F9D6B1"/>
    <w:multiLevelType w:val="singleLevel"/>
    <w:tmpl w:val="F9F9D6B1"/>
    <w:lvl w:ilvl="0" w:tentative="0">
      <w:start w:val="1"/>
      <w:numFmt w:val="chineseCounting"/>
      <w:suff w:val="nothing"/>
      <w:lvlText w:val="（%1）"/>
      <w:lvlJc w:val="left"/>
      <w:rPr>
        <w:rFonts w:hint="eastAsia"/>
      </w:rPr>
    </w:lvl>
  </w:abstractNum>
  <w:abstractNum w:abstractNumId="1">
    <w:nsid w:val="04950320"/>
    <w:multiLevelType w:val="multilevel"/>
    <w:tmpl w:val="04950320"/>
    <w:lvl w:ilvl="0" w:tentative="0">
      <w:start w:val="1"/>
      <w:numFmt w:val="chineseCountingThousand"/>
      <w:suff w:val="space"/>
      <w:lvlText w:val="%1、"/>
      <w:lvlJc w:val="left"/>
      <w:pPr>
        <w:ind w:left="440" w:hanging="440"/>
      </w:pPr>
      <w:rPr>
        <w:rFonts w:hint="eastAsia"/>
        <w:b/>
        <w:bCs w:val="0"/>
        <w:color w:val="auto"/>
      </w:rPr>
    </w:lvl>
    <w:lvl w:ilvl="1" w:tentative="0">
      <w:start w:val="1"/>
      <w:numFmt w:val="decimal"/>
      <w:suff w:val="space"/>
      <w:lvlText w:val="%2、"/>
      <w:lvlJc w:val="left"/>
      <w:pPr>
        <w:ind w:left="360" w:hanging="360"/>
      </w:pPr>
      <w:rPr>
        <w:rFonts w:hint="default"/>
        <w:color w:val="auto"/>
      </w:r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abstractNum w:abstractNumId="2">
    <w:nsid w:val="1A167EE6"/>
    <w:multiLevelType w:val="multilevel"/>
    <w:tmpl w:val="1A167EE6"/>
    <w:lvl w:ilvl="0" w:tentative="0">
      <w:start w:val="1"/>
      <w:numFmt w:val="decimal"/>
      <w:suff w:val="space"/>
      <w:lvlText w:val="%1、"/>
      <w:lvlJc w:val="left"/>
      <w:pPr>
        <w:ind w:left="360" w:hanging="360"/>
      </w:pPr>
      <w:rPr>
        <w:rFonts w:hint="default"/>
      </w:r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abstractNum w:abstractNumId="3">
    <w:nsid w:val="22072F7D"/>
    <w:multiLevelType w:val="multilevel"/>
    <w:tmpl w:val="22072F7D"/>
    <w:lvl w:ilvl="0" w:tentative="0">
      <w:start w:val="1"/>
      <w:numFmt w:val="decimal"/>
      <w:suff w:val="space"/>
      <w:lvlText w:val="%1、"/>
      <w:lvlJc w:val="left"/>
      <w:pPr>
        <w:ind w:left="357" w:hanging="357"/>
      </w:pPr>
      <w:rPr>
        <w:rFonts w:hint="default"/>
      </w:rPr>
    </w:lvl>
    <w:lvl w:ilvl="1" w:tentative="0">
      <w:start w:val="1"/>
      <w:numFmt w:val="lowerLetter"/>
      <w:lvlText w:val="%2)"/>
      <w:lvlJc w:val="left"/>
      <w:pPr>
        <w:ind w:left="1360" w:hanging="440"/>
      </w:pPr>
    </w:lvl>
    <w:lvl w:ilvl="2" w:tentative="0">
      <w:start w:val="1"/>
      <w:numFmt w:val="lowerRoman"/>
      <w:lvlText w:val="%3."/>
      <w:lvlJc w:val="right"/>
      <w:pPr>
        <w:ind w:left="1800" w:hanging="440"/>
      </w:pPr>
    </w:lvl>
    <w:lvl w:ilvl="3" w:tentative="0">
      <w:start w:val="1"/>
      <w:numFmt w:val="decimal"/>
      <w:lvlText w:val="%4."/>
      <w:lvlJc w:val="left"/>
      <w:pPr>
        <w:ind w:left="2240" w:hanging="440"/>
      </w:pPr>
    </w:lvl>
    <w:lvl w:ilvl="4" w:tentative="0">
      <w:start w:val="1"/>
      <w:numFmt w:val="lowerLetter"/>
      <w:lvlText w:val="%5)"/>
      <w:lvlJc w:val="left"/>
      <w:pPr>
        <w:ind w:left="2680" w:hanging="440"/>
      </w:pPr>
    </w:lvl>
    <w:lvl w:ilvl="5" w:tentative="0">
      <w:start w:val="1"/>
      <w:numFmt w:val="lowerRoman"/>
      <w:lvlText w:val="%6."/>
      <w:lvlJc w:val="right"/>
      <w:pPr>
        <w:ind w:left="3120" w:hanging="440"/>
      </w:pPr>
    </w:lvl>
    <w:lvl w:ilvl="6" w:tentative="0">
      <w:start w:val="1"/>
      <w:numFmt w:val="decimal"/>
      <w:lvlText w:val="%7."/>
      <w:lvlJc w:val="left"/>
      <w:pPr>
        <w:ind w:left="3560" w:hanging="440"/>
      </w:pPr>
    </w:lvl>
    <w:lvl w:ilvl="7" w:tentative="0">
      <w:start w:val="1"/>
      <w:numFmt w:val="lowerLetter"/>
      <w:lvlText w:val="%8)"/>
      <w:lvlJc w:val="left"/>
      <w:pPr>
        <w:ind w:left="4000" w:hanging="440"/>
      </w:pPr>
    </w:lvl>
    <w:lvl w:ilvl="8" w:tentative="0">
      <w:start w:val="1"/>
      <w:numFmt w:val="lowerRoman"/>
      <w:lvlText w:val="%9."/>
      <w:lvlJc w:val="right"/>
      <w:pPr>
        <w:ind w:left="4440" w:hanging="440"/>
      </w:pPr>
    </w:lvl>
  </w:abstractNum>
  <w:abstractNum w:abstractNumId="4">
    <w:nsid w:val="27996265"/>
    <w:multiLevelType w:val="multilevel"/>
    <w:tmpl w:val="27996265"/>
    <w:lvl w:ilvl="0" w:tentative="0">
      <w:start w:val="1"/>
      <w:numFmt w:val="decimal"/>
      <w:suff w:val="space"/>
      <w:lvlText w:val="%1、"/>
      <w:lvlJc w:val="left"/>
      <w:pPr>
        <w:ind w:left="360" w:hanging="360"/>
      </w:pPr>
      <w:rPr>
        <w:rFonts w:hint="default"/>
      </w:r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abstractNum w:abstractNumId="5">
    <w:nsid w:val="51265CC4"/>
    <w:multiLevelType w:val="multilevel"/>
    <w:tmpl w:val="51265CC4"/>
    <w:lvl w:ilvl="0" w:tentative="0">
      <w:start w:val="1"/>
      <w:numFmt w:val="decimal"/>
      <w:suff w:val="space"/>
      <w:lvlText w:val="%1、"/>
      <w:lvlJc w:val="left"/>
      <w:pPr>
        <w:ind w:left="360" w:hanging="360"/>
      </w:pPr>
      <w:rPr>
        <w:rFonts w:hint="default"/>
      </w:rPr>
    </w:lvl>
    <w:lvl w:ilvl="1" w:tentative="0">
      <w:start w:val="1"/>
      <w:numFmt w:val="decimal"/>
      <w:suff w:val="space"/>
      <w:lvlText w:val="%2、"/>
      <w:lvlJc w:val="left"/>
      <w:pPr>
        <w:ind w:left="357" w:hanging="357"/>
      </w:pPr>
      <w:rPr>
        <w:rFonts w:hint="default"/>
      </w:rPr>
    </w:lvl>
    <w:lvl w:ilvl="2" w:tentative="0">
      <w:start w:val="1"/>
      <w:numFmt w:val="decimalEnclosedCircle"/>
      <w:lvlText w:val="%3"/>
      <w:lvlJc w:val="left"/>
      <w:pPr>
        <w:ind w:left="1240" w:hanging="360"/>
      </w:pPr>
      <w:rPr>
        <w:rFonts w:hint="default"/>
      </w:r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abstractNum w:abstractNumId="6">
    <w:nsid w:val="683E4EEF"/>
    <w:multiLevelType w:val="multilevel"/>
    <w:tmpl w:val="683E4EEF"/>
    <w:lvl w:ilvl="0" w:tentative="0">
      <w:start w:val="1"/>
      <w:numFmt w:val="decimal"/>
      <w:suff w:val="space"/>
      <w:lvlText w:val="%1、"/>
      <w:lvlJc w:val="left"/>
      <w:pPr>
        <w:ind w:left="360" w:hanging="360"/>
      </w:pPr>
      <w:rPr>
        <w:rFonts w:hint="default"/>
      </w:r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num w:numId="1">
    <w:abstractNumId w:val="1"/>
  </w:num>
  <w:num w:numId="2">
    <w:abstractNumId w:val="5"/>
  </w:num>
  <w:num w:numId="3">
    <w:abstractNumId w:val="0"/>
  </w:num>
  <w:num w:numId="4">
    <w:abstractNumId w:val="3"/>
  </w:num>
  <w:num w:numId="5">
    <w:abstractNumId w:val="2"/>
  </w:num>
  <w:num w:numId="6">
    <w:abstractNumId w:val="6"/>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2A27"/>
    <w:rsid w:val="0002118E"/>
    <w:rsid w:val="00021E99"/>
    <w:rsid w:val="00030D64"/>
    <w:rsid w:val="00052384"/>
    <w:rsid w:val="0005690C"/>
    <w:rsid w:val="0006225D"/>
    <w:rsid w:val="00086BF8"/>
    <w:rsid w:val="0009445B"/>
    <w:rsid w:val="000A2ABB"/>
    <w:rsid w:val="000B0B65"/>
    <w:rsid w:val="000B2A32"/>
    <w:rsid w:val="000C3DB0"/>
    <w:rsid w:val="000D3FB3"/>
    <w:rsid w:val="000E6041"/>
    <w:rsid w:val="000F1895"/>
    <w:rsid w:val="000F4A51"/>
    <w:rsid w:val="00105477"/>
    <w:rsid w:val="001132DF"/>
    <w:rsid w:val="00142E42"/>
    <w:rsid w:val="00143264"/>
    <w:rsid w:val="00161C70"/>
    <w:rsid w:val="00163D4A"/>
    <w:rsid w:val="00172A27"/>
    <w:rsid w:val="00191C4B"/>
    <w:rsid w:val="00196C64"/>
    <w:rsid w:val="001B344B"/>
    <w:rsid w:val="001C2BC8"/>
    <w:rsid w:val="001C34FE"/>
    <w:rsid w:val="001D336D"/>
    <w:rsid w:val="001E00C0"/>
    <w:rsid w:val="00200525"/>
    <w:rsid w:val="00214B8E"/>
    <w:rsid w:val="00223A26"/>
    <w:rsid w:val="00223B7B"/>
    <w:rsid w:val="00230B74"/>
    <w:rsid w:val="002442EE"/>
    <w:rsid w:val="00275DE6"/>
    <w:rsid w:val="002C4FA0"/>
    <w:rsid w:val="002F4E44"/>
    <w:rsid w:val="00313E35"/>
    <w:rsid w:val="00321756"/>
    <w:rsid w:val="00322AEF"/>
    <w:rsid w:val="0033402F"/>
    <w:rsid w:val="003536BD"/>
    <w:rsid w:val="00382ADE"/>
    <w:rsid w:val="003855FD"/>
    <w:rsid w:val="00385C1C"/>
    <w:rsid w:val="00393AF6"/>
    <w:rsid w:val="0042263E"/>
    <w:rsid w:val="004369AD"/>
    <w:rsid w:val="004622C9"/>
    <w:rsid w:val="004647BB"/>
    <w:rsid w:val="00464AFF"/>
    <w:rsid w:val="004A5A99"/>
    <w:rsid w:val="004D34D3"/>
    <w:rsid w:val="004F2D3D"/>
    <w:rsid w:val="005529F3"/>
    <w:rsid w:val="00560705"/>
    <w:rsid w:val="005661C5"/>
    <w:rsid w:val="005A3146"/>
    <w:rsid w:val="005A590D"/>
    <w:rsid w:val="005E5FA8"/>
    <w:rsid w:val="005F54F8"/>
    <w:rsid w:val="00601CC6"/>
    <w:rsid w:val="00617A00"/>
    <w:rsid w:val="00654F9A"/>
    <w:rsid w:val="00654FEB"/>
    <w:rsid w:val="006943B1"/>
    <w:rsid w:val="006B6A7B"/>
    <w:rsid w:val="006B7947"/>
    <w:rsid w:val="006E211C"/>
    <w:rsid w:val="006F1593"/>
    <w:rsid w:val="006F7293"/>
    <w:rsid w:val="007007EE"/>
    <w:rsid w:val="00703983"/>
    <w:rsid w:val="00716E38"/>
    <w:rsid w:val="00723765"/>
    <w:rsid w:val="007242A9"/>
    <w:rsid w:val="00724CE0"/>
    <w:rsid w:val="007344EA"/>
    <w:rsid w:val="00770154"/>
    <w:rsid w:val="00773E90"/>
    <w:rsid w:val="0079007F"/>
    <w:rsid w:val="007A1BA8"/>
    <w:rsid w:val="007A32BB"/>
    <w:rsid w:val="007A7EBB"/>
    <w:rsid w:val="007B5EAE"/>
    <w:rsid w:val="007E72ED"/>
    <w:rsid w:val="007F7DC7"/>
    <w:rsid w:val="0080190B"/>
    <w:rsid w:val="008354B5"/>
    <w:rsid w:val="00837E10"/>
    <w:rsid w:val="008450B7"/>
    <w:rsid w:val="00852DB8"/>
    <w:rsid w:val="00862DA9"/>
    <w:rsid w:val="00871A69"/>
    <w:rsid w:val="008B750E"/>
    <w:rsid w:val="009051D8"/>
    <w:rsid w:val="009152CE"/>
    <w:rsid w:val="00923C29"/>
    <w:rsid w:val="00924E0F"/>
    <w:rsid w:val="00935728"/>
    <w:rsid w:val="0098516E"/>
    <w:rsid w:val="00985317"/>
    <w:rsid w:val="009A319D"/>
    <w:rsid w:val="009A5EB9"/>
    <w:rsid w:val="009B0972"/>
    <w:rsid w:val="009B742A"/>
    <w:rsid w:val="009C48CE"/>
    <w:rsid w:val="009C5AF7"/>
    <w:rsid w:val="009F1404"/>
    <w:rsid w:val="00A23D2B"/>
    <w:rsid w:val="00A646A2"/>
    <w:rsid w:val="00A67251"/>
    <w:rsid w:val="00A953E3"/>
    <w:rsid w:val="00AB2F20"/>
    <w:rsid w:val="00AD7822"/>
    <w:rsid w:val="00B06412"/>
    <w:rsid w:val="00B11759"/>
    <w:rsid w:val="00B13321"/>
    <w:rsid w:val="00B55276"/>
    <w:rsid w:val="00B737BA"/>
    <w:rsid w:val="00B905C4"/>
    <w:rsid w:val="00BA3827"/>
    <w:rsid w:val="00BA64AE"/>
    <w:rsid w:val="00BB45F0"/>
    <w:rsid w:val="00BE1AA5"/>
    <w:rsid w:val="00BF6E8D"/>
    <w:rsid w:val="00C17EF4"/>
    <w:rsid w:val="00C26D29"/>
    <w:rsid w:val="00C3109C"/>
    <w:rsid w:val="00C31999"/>
    <w:rsid w:val="00C3537D"/>
    <w:rsid w:val="00C41956"/>
    <w:rsid w:val="00C45113"/>
    <w:rsid w:val="00C832F8"/>
    <w:rsid w:val="00CA10B9"/>
    <w:rsid w:val="00CA2B21"/>
    <w:rsid w:val="00CB25DB"/>
    <w:rsid w:val="00CB5CB7"/>
    <w:rsid w:val="00CC409F"/>
    <w:rsid w:val="00CE1801"/>
    <w:rsid w:val="00CF7EB6"/>
    <w:rsid w:val="00D02256"/>
    <w:rsid w:val="00D1191E"/>
    <w:rsid w:val="00D36837"/>
    <w:rsid w:val="00D43C43"/>
    <w:rsid w:val="00D44D39"/>
    <w:rsid w:val="00D519B0"/>
    <w:rsid w:val="00D52215"/>
    <w:rsid w:val="00D55399"/>
    <w:rsid w:val="00D60116"/>
    <w:rsid w:val="00D62394"/>
    <w:rsid w:val="00D631A9"/>
    <w:rsid w:val="00D973F5"/>
    <w:rsid w:val="00DB2073"/>
    <w:rsid w:val="00DE75AF"/>
    <w:rsid w:val="00E425AA"/>
    <w:rsid w:val="00E44D16"/>
    <w:rsid w:val="00E64F6B"/>
    <w:rsid w:val="00E900AF"/>
    <w:rsid w:val="00E91FEB"/>
    <w:rsid w:val="00E94316"/>
    <w:rsid w:val="00EA09AD"/>
    <w:rsid w:val="00EA4FE3"/>
    <w:rsid w:val="00EB1A34"/>
    <w:rsid w:val="00EC4A98"/>
    <w:rsid w:val="00EE06F4"/>
    <w:rsid w:val="00EE3E81"/>
    <w:rsid w:val="00F01F45"/>
    <w:rsid w:val="00F26B3B"/>
    <w:rsid w:val="00F66A1B"/>
    <w:rsid w:val="00F705A7"/>
    <w:rsid w:val="00F757F0"/>
    <w:rsid w:val="00F85D7C"/>
    <w:rsid w:val="00F8763E"/>
    <w:rsid w:val="00FA6120"/>
    <w:rsid w:val="00FB1B5D"/>
    <w:rsid w:val="00FB1D21"/>
    <w:rsid w:val="00FC0368"/>
    <w:rsid w:val="00FE7E8F"/>
    <w:rsid w:val="01243377"/>
    <w:rsid w:val="022551BE"/>
    <w:rsid w:val="02BF0A2C"/>
    <w:rsid w:val="09293923"/>
    <w:rsid w:val="1BB54A11"/>
    <w:rsid w:val="28D64C70"/>
    <w:rsid w:val="2A9A6A3F"/>
    <w:rsid w:val="2C9C69E0"/>
    <w:rsid w:val="2CE360C1"/>
    <w:rsid w:val="308560FA"/>
    <w:rsid w:val="40394773"/>
    <w:rsid w:val="464A4625"/>
    <w:rsid w:val="475F71FF"/>
    <w:rsid w:val="482960B1"/>
    <w:rsid w:val="4CB5085F"/>
    <w:rsid w:val="5B606120"/>
    <w:rsid w:val="643C6F6D"/>
    <w:rsid w:val="66CA10FA"/>
    <w:rsid w:val="681475F9"/>
    <w:rsid w:val="69DC5C4C"/>
    <w:rsid w:val="6AFD5824"/>
    <w:rsid w:val="6E6F5A4F"/>
    <w:rsid w:val="70BF30C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nhideWhenUsed="0" w:uiPriority="99"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paragraph" w:styleId="2">
    <w:name w:val="heading 3"/>
    <w:basedOn w:val="1"/>
    <w:next w:val="1"/>
    <w:qFormat/>
    <w:uiPriority w:val="99"/>
    <w:pPr>
      <w:keepNext/>
      <w:keepLines/>
      <w:spacing w:before="260" w:after="260"/>
      <w:jc w:val="center"/>
      <w:outlineLvl w:val="2"/>
    </w:pPr>
    <w:rPr>
      <w:rFonts w:ascii="Times New Roman" w:hAnsi="Times New Roman"/>
      <w:b/>
      <w:sz w:val="32"/>
    </w:rPr>
  </w:style>
  <w:style w:type="character" w:default="1" w:styleId="11">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link w:val="21"/>
    <w:qFormat/>
    <w:uiPriority w:val="0"/>
    <w:pPr>
      <w:jc w:val="left"/>
    </w:pPr>
  </w:style>
  <w:style w:type="paragraph" w:styleId="4">
    <w:name w:val="Body Text"/>
    <w:basedOn w:val="1"/>
    <w:unhideWhenUsed/>
    <w:qFormat/>
    <w:uiPriority w:val="99"/>
    <w:pPr>
      <w:spacing w:line="380" w:lineRule="exact"/>
    </w:pPr>
    <w:rPr>
      <w:rFonts w:ascii="Times New Roman" w:hAnsi="Times New Roman"/>
      <w:sz w:val="24"/>
    </w:rPr>
  </w:style>
  <w:style w:type="paragraph" w:styleId="5">
    <w:name w:val="Balloon Text"/>
    <w:basedOn w:val="1"/>
    <w:link w:val="26"/>
    <w:qFormat/>
    <w:uiPriority w:val="0"/>
    <w:rPr>
      <w:sz w:val="18"/>
      <w:szCs w:val="18"/>
    </w:rPr>
  </w:style>
  <w:style w:type="paragraph" w:styleId="6">
    <w:name w:val="footer"/>
    <w:basedOn w:val="1"/>
    <w:link w:val="24"/>
    <w:qFormat/>
    <w:uiPriority w:val="99"/>
    <w:pPr>
      <w:tabs>
        <w:tab w:val="center" w:pos="4153"/>
        <w:tab w:val="right" w:pos="8306"/>
      </w:tabs>
      <w:snapToGrid w:val="0"/>
      <w:jc w:val="left"/>
    </w:pPr>
    <w:rPr>
      <w:sz w:val="18"/>
      <w:szCs w:val="18"/>
    </w:rPr>
  </w:style>
  <w:style w:type="paragraph" w:styleId="7">
    <w:name w:val="header"/>
    <w:basedOn w:val="1"/>
    <w:link w:val="23"/>
    <w:qFormat/>
    <w:uiPriority w:val="0"/>
    <w:pPr>
      <w:pBdr>
        <w:bottom w:val="single" w:color="auto" w:sz="6" w:space="1"/>
      </w:pBdr>
      <w:tabs>
        <w:tab w:val="center" w:pos="4153"/>
        <w:tab w:val="right" w:pos="8306"/>
      </w:tabs>
      <w:snapToGrid w:val="0"/>
      <w:jc w:val="center"/>
    </w:pPr>
    <w:rPr>
      <w:sz w:val="18"/>
      <w:szCs w:val="18"/>
    </w:rPr>
  </w:style>
  <w:style w:type="paragraph" w:styleId="8">
    <w:name w:val="Normal (Web)"/>
    <w:basedOn w:val="1"/>
    <w:qFormat/>
    <w:uiPriority w:val="0"/>
    <w:pPr>
      <w:widowControl/>
      <w:spacing w:before="100" w:beforeAutospacing="1" w:after="100" w:afterAutospacing="1"/>
      <w:jc w:val="left"/>
    </w:pPr>
    <w:rPr>
      <w:rFonts w:ascii="宋体" w:hAnsi="宋体"/>
      <w:kern w:val="0"/>
      <w:sz w:val="24"/>
    </w:rPr>
  </w:style>
  <w:style w:type="paragraph" w:styleId="9">
    <w:name w:val="annotation subject"/>
    <w:basedOn w:val="3"/>
    <w:next w:val="3"/>
    <w:link w:val="22"/>
    <w:qFormat/>
    <w:uiPriority w:val="0"/>
    <w:rPr>
      <w:b/>
      <w:bCs/>
    </w:rPr>
  </w:style>
  <w:style w:type="character" w:styleId="12">
    <w:name w:val="Hyperlink"/>
    <w:basedOn w:val="11"/>
    <w:qFormat/>
    <w:uiPriority w:val="0"/>
    <w:rPr>
      <w:color w:val="0563C1" w:themeColor="hyperlink"/>
      <w:u w:val="single"/>
      <w14:textFill>
        <w14:solidFill>
          <w14:schemeClr w14:val="hlink"/>
        </w14:solidFill>
      </w14:textFill>
    </w:rPr>
  </w:style>
  <w:style w:type="character" w:styleId="13">
    <w:name w:val="annotation reference"/>
    <w:basedOn w:val="11"/>
    <w:qFormat/>
    <w:uiPriority w:val="0"/>
    <w:rPr>
      <w:sz w:val="21"/>
      <w:szCs w:val="21"/>
    </w:rPr>
  </w:style>
  <w:style w:type="paragraph" w:styleId="14">
    <w:name w:val="List Paragraph"/>
    <w:basedOn w:val="1"/>
    <w:qFormat/>
    <w:uiPriority w:val="34"/>
    <w:pPr>
      <w:ind w:firstLine="420" w:firstLineChars="200"/>
    </w:pPr>
    <w:rPr>
      <w:rFonts w:ascii="Times New Roman" w:hAnsi="Times New Roman"/>
      <w:sz w:val="24"/>
      <w:szCs w:val="24"/>
    </w:rPr>
  </w:style>
  <w:style w:type="character" w:customStyle="1" w:styleId="15">
    <w:name w:val="font71"/>
    <w:basedOn w:val="11"/>
    <w:qFormat/>
    <w:uiPriority w:val="0"/>
    <w:rPr>
      <w:rFonts w:hint="eastAsia" w:ascii="宋体" w:hAnsi="宋体" w:eastAsia="宋体" w:cs="宋体"/>
      <w:color w:val="000000"/>
      <w:sz w:val="20"/>
      <w:szCs w:val="20"/>
      <w:u w:val="none"/>
    </w:rPr>
  </w:style>
  <w:style w:type="character" w:customStyle="1" w:styleId="16">
    <w:name w:val="font101"/>
    <w:basedOn w:val="11"/>
    <w:qFormat/>
    <w:uiPriority w:val="0"/>
    <w:rPr>
      <w:rFonts w:hint="eastAsia" w:ascii="宋体" w:hAnsi="宋体" w:eastAsia="宋体" w:cs="宋体"/>
      <w:color w:val="auto"/>
      <w:sz w:val="20"/>
      <w:szCs w:val="20"/>
      <w:u w:val="none"/>
    </w:rPr>
  </w:style>
  <w:style w:type="character" w:customStyle="1" w:styleId="17">
    <w:name w:val="font61"/>
    <w:basedOn w:val="11"/>
    <w:qFormat/>
    <w:uiPriority w:val="0"/>
    <w:rPr>
      <w:rFonts w:hint="eastAsia" w:ascii="宋体" w:hAnsi="宋体" w:eastAsia="宋体" w:cs="宋体"/>
      <w:color w:val="000000"/>
      <w:sz w:val="20"/>
      <w:szCs w:val="20"/>
      <w:u w:val="none"/>
    </w:rPr>
  </w:style>
  <w:style w:type="character" w:customStyle="1" w:styleId="18">
    <w:name w:val="font81"/>
    <w:basedOn w:val="11"/>
    <w:qFormat/>
    <w:uiPriority w:val="0"/>
    <w:rPr>
      <w:rFonts w:hint="eastAsia" w:ascii="宋体" w:hAnsi="宋体" w:eastAsia="宋体" w:cs="宋体"/>
      <w:b/>
      <w:color w:val="1F497D"/>
      <w:sz w:val="20"/>
      <w:szCs w:val="20"/>
      <w:u w:val="none"/>
    </w:rPr>
  </w:style>
  <w:style w:type="character" w:customStyle="1" w:styleId="19">
    <w:name w:val="font91"/>
    <w:basedOn w:val="11"/>
    <w:qFormat/>
    <w:uiPriority w:val="0"/>
    <w:rPr>
      <w:rFonts w:hint="eastAsia" w:ascii="宋体" w:hAnsi="宋体" w:eastAsia="宋体" w:cs="宋体"/>
      <w:b/>
      <w:color w:val="FF0000"/>
      <w:sz w:val="20"/>
      <w:szCs w:val="20"/>
      <w:u w:val="none"/>
    </w:rPr>
  </w:style>
  <w:style w:type="character" w:customStyle="1" w:styleId="20">
    <w:name w:val="font51"/>
    <w:basedOn w:val="11"/>
    <w:qFormat/>
    <w:uiPriority w:val="0"/>
    <w:rPr>
      <w:rFonts w:hint="eastAsia" w:ascii="宋体" w:hAnsi="宋体" w:eastAsia="宋体" w:cs="宋体"/>
      <w:color w:val="000000"/>
      <w:sz w:val="20"/>
      <w:szCs w:val="20"/>
      <w:u w:val="none"/>
    </w:rPr>
  </w:style>
  <w:style w:type="character" w:customStyle="1" w:styleId="21">
    <w:name w:val="批注文字 字符"/>
    <w:basedOn w:val="11"/>
    <w:link w:val="3"/>
    <w:qFormat/>
    <w:uiPriority w:val="0"/>
    <w:rPr>
      <w:rFonts w:ascii="Calibri" w:hAnsi="Calibri"/>
      <w:kern w:val="2"/>
      <w:sz w:val="21"/>
      <w:szCs w:val="22"/>
    </w:rPr>
  </w:style>
  <w:style w:type="character" w:customStyle="1" w:styleId="22">
    <w:name w:val="批注主题 字符"/>
    <w:basedOn w:val="21"/>
    <w:link w:val="9"/>
    <w:qFormat/>
    <w:uiPriority w:val="0"/>
    <w:rPr>
      <w:rFonts w:ascii="Calibri" w:hAnsi="Calibri"/>
      <w:b/>
      <w:bCs/>
      <w:kern w:val="2"/>
      <w:sz w:val="21"/>
      <w:szCs w:val="22"/>
    </w:rPr>
  </w:style>
  <w:style w:type="character" w:customStyle="1" w:styleId="23">
    <w:name w:val="页眉 字符"/>
    <w:basedOn w:val="11"/>
    <w:link w:val="7"/>
    <w:qFormat/>
    <w:uiPriority w:val="0"/>
    <w:rPr>
      <w:rFonts w:ascii="Calibri" w:hAnsi="Calibri"/>
      <w:kern w:val="2"/>
      <w:sz w:val="18"/>
      <w:szCs w:val="18"/>
    </w:rPr>
  </w:style>
  <w:style w:type="character" w:customStyle="1" w:styleId="24">
    <w:name w:val="页脚 字符"/>
    <w:basedOn w:val="11"/>
    <w:link w:val="6"/>
    <w:qFormat/>
    <w:uiPriority w:val="0"/>
    <w:rPr>
      <w:rFonts w:ascii="Calibri" w:hAnsi="Calibri"/>
      <w:kern w:val="2"/>
      <w:sz w:val="18"/>
      <w:szCs w:val="18"/>
    </w:rPr>
  </w:style>
  <w:style w:type="character" w:customStyle="1" w:styleId="25">
    <w:name w:val="Unresolved Mention"/>
    <w:basedOn w:val="11"/>
    <w:semiHidden/>
    <w:unhideWhenUsed/>
    <w:qFormat/>
    <w:uiPriority w:val="99"/>
    <w:rPr>
      <w:color w:val="605E5C"/>
      <w:shd w:val="clear" w:color="auto" w:fill="E1DFDD"/>
    </w:rPr>
  </w:style>
  <w:style w:type="character" w:customStyle="1" w:styleId="26">
    <w:name w:val="批注框文本 字符"/>
    <w:basedOn w:val="11"/>
    <w:link w:val="5"/>
    <w:qFormat/>
    <w:uiPriority w:val="0"/>
    <w:rPr>
      <w:rFonts w:ascii="Calibri" w:hAnsi="Calibri"/>
      <w:kern w:val="2"/>
      <w:sz w:val="18"/>
      <w:szCs w:val="18"/>
    </w:rPr>
  </w:style>
  <w:style w:type="character" w:customStyle="1" w:styleId="27">
    <w:name w:val="页脚 Char"/>
    <w:qFormat/>
    <w:uiPriority w:val="99"/>
    <w:rPr>
      <w:kern w:val="2"/>
      <w:sz w:val="18"/>
      <w:szCs w:val="18"/>
    </w:rPr>
  </w:style>
  <w:style w:type="paragraph" w:customStyle="1" w:styleId="28">
    <w:name w:val="_Style 27"/>
    <w:basedOn w:val="1"/>
    <w:next w:val="14"/>
    <w:qFormat/>
    <w:uiPriority w:val="34"/>
    <w:pPr>
      <w:ind w:firstLine="420" w:firstLineChars="200"/>
    </w:pPr>
    <w:rPr>
      <w:rFonts w:ascii="等线" w:hAnsi="等线" w:eastAsia="等线"/>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7</Pages>
  <Words>3935</Words>
  <Characters>4061</Characters>
  <Lines>57</Lines>
  <Paragraphs>16</Paragraphs>
  <TotalTime>5</TotalTime>
  <ScaleCrop>false</ScaleCrop>
  <LinksUpToDate>false</LinksUpToDate>
  <CharactersWithSpaces>4072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2026-06-03T14:52:00Z</dcterms:created>
  <dc:creator>chenyaohui</dc:creator>
  <cp:lastModifiedBy>'Muc ||恒℡</cp:lastModifiedBy>
  <dcterms:modified xsi:type="dcterms:W3CDTF">2026-09-14T11:55:33Z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KSOTemplateDocerSaveRecord">
    <vt:lpwstr>eyJoZGlkIjoiOWE2NjM0Y2UyZTc4YmIwMDYyYjhlM2M4Mjg0ZmI2NGYiLCJ1c2VySWQiOiI3OTQ1Mzc0NDQifQ==</vt:lpwstr>
  </property>
  <property fmtid="{D5CDD505-2E9C-101B-9397-08002B2CF9AE}" pid="4" name="ICV">
    <vt:lpwstr>7F4BE8CC8B8E4BDDB0A246795928178F_12</vt:lpwstr>
  </property>
</Properties>
</file>