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adjustRightInd w:val="0"/>
        <w:snapToGrid w:val="0"/>
        <w:spacing w:before="0" w:after="120"/>
        <w:rPr>
          <w:sz w:val="30"/>
          <w:szCs w:val="30"/>
        </w:rPr>
      </w:pPr>
      <w:bookmarkStart w:id="0" w:name="_Toc26315"/>
      <w:bookmarkStart w:id="1" w:name="_Toc20631"/>
      <w:bookmarkStart w:id="2" w:name="_Toc14358"/>
      <w:bookmarkStart w:id="3" w:name="_Toc5934"/>
      <w:bookmarkStart w:id="4" w:name="_Toc97560485"/>
      <w:bookmarkStart w:id="5" w:name="_Toc19915"/>
      <w:bookmarkStart w:id="6" w:name="_Toc21409"/>
      <w:bookmarkStart w:id="7" w:name="_Toc17193"/>
      <w:r>
        <w:rPr>
          <w:rFonts w:hint="eastAsia"/>
          <w:color w:val="0000FF"/>
          <w:sz w:val="30"/>
          <w:szCs w:val="30"/>
          <w:lang w:val="en-US" w:eastAsia="zh-CN"/>
        </w:rPr>
        <w:t>ADAS辅助驾驶感知系统</w:t>
      </w:r>
      <w:r>
        <w:rPr>
          <w:rFonts w:hint="eastAsia"/>
          <w:color w:val="0000FF"/>
          <w:sz w:val="30"/>
          <w:szCs w:val="30"/>
        </w:rPr>
        <w:t>项目</w:t>
      </w:r>
      <w:bookmarkStart w:id="8" w:name="OLE_LINK3"/>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bookmarkEnd w:id="8"/>
      <w:r>
        <w:rPr>
          <w:sz w:val="30"/>
          <w:szCs w:val="30"/>
        </w:rPr>
        <w:t>-</w:t>
      </w:r>
      <w:r>
        <w:rPr>
          <w:rFonts w:hint="eastAsia"/>
          <w:sz w:val="30"/>
          <w:szCs w:val="30"/>
        </w:rPr>
        <w:t>生产物资</w:t>
      </w:r>
    </w:p>
    <w:p>
      <w:pPr>
        <w:pStyle w:val="14"/>
        <w:numPr>
          <w:ilvl w:val="0"/>
          <w:numId w:val="1"/>
        </w:numPr>
        <w:spacing w:before="156" w:beforeLines="50" w:after="156" w:afterLines="50" w:line="440" w:lineRule="exact"/>
        <w:ind w:left="442" w:hanging="442" w:firstLineChars="0"/>
        <w:outlineLvl w:val="1"/>
        <w:rPr>
          <w:rFonts w:hint="eastAsia" w:ascii="宋体" w:hAnsi="宋体"/>
          <w:b/>
          <w:sz w:val="28"/>
          <w:szCs w:val="28"/>
        </w:rPr>
      </w:pPr>
      <w:r>
        <w:rPr>
          <w:rFonts w:ascii="宋体" w:hAnsi="宋体"/>
          <w:b/>
          <w:sz w:val="28"/>
          <w:szCs w:val="28"/>
          <w:lang w:val="zh-CN"/>
        </w:rPr>
        <w:t>评标方法：综合</w:t>
      </w:r>
      <w:r>
        <w:rPr>
          <w:rFonts w:hint="eastAsia" w:ascii="宋体" w:hAnsi="宋体"/>
          <w:b/>
          <w:sz w:val="28"/>
          <w:szCs w:val="28"/>
          <w:lang w:val="zh-CN"/>
        </w:rPr>
        <w:t>评审</w:t>
      </w:r>
      <w:r>
        <w:rPr>
          <w:rFonts w:ascii="宋体" w:hAnsi="宋体"/>
          <w:b/>
          <w:sz w:val="28"/>
          <w:szCs w:val="28"/>
          <w:lang w:val="zh-CN"/>
        </w:rPr>
        <w:t>法</w:t>
      </w:r>
    </w:p>
    <w:p>
      <w:pPr>
        <w:spacing w:line="440" w:lineRule="exact"/>
        <w:ind w:firstLine="480" w:firstLineChars="200"/>
        <w:rPr>
          <w:rFonts w:hint="eastAsia" w:ascii="宋体" w:hAnsi="宋体"/>
          <w:sz w:val="24"/>
          <w:lang w:val="zh-CN"/>
        </w:rPr>
      </w:pPr>
      <w:bookmarkStart w:id="9" w:name="OLE_LINK6"/>
      <w:r>
        <w:rPr>
          <w:rFonts w:ascii="宋体" w:hAnsi="宋体"/>
          <w:sz w:val="24"/>
          <w:lang w:val="zh-CN"/>
        </w:rPr>
        <w:t>对所有投标人的投标文件评审，都采用相同的程序和标准。</w:t>
      </w:r>
    </w:p>
    <w:p>
      <w:pPr>
        <w:pStyle w:val="14"/>
        <w:numPr>
          <w:ilvl w:val="0"/>
          <w:numId w:val="2"/>
        </w:numPr>
        <w:spacing w:line="440" w:lineRule="exact"/>
        <w:ind w:left="0" w:firstLine="480"/>
        <w:rPr>
          <w:rFonts w:hint="eastAsia" w:ascii="宋体" w:hAnsi="宋体"/>
        </w:rPr>
      </w:pPr>
      <w:r>
        <w:rPr>
          <w:rFonts w:hint="eastAsia" w:ascii="宋体" w:hAnsi="宋体"/>
        </w:rPr>
        <w:t>采购评标小组成员</w:t>
      </w:r>
    </w:p>
    <w:p>
      <w:pPr>
        <w:spacing w:line="440" w:lineRule="exact"/>
        <w:ind w:firstLine="480" w:firstLineChars="200"/>
        <w:rPr>
          <w:rFonts w:hint="eastAsia" w:ascii="宋体" w:hAnsi="宋体"/>
          <w:sz w:val="24"/>
        </w:rPr>
      </w:pPr>
      <w:r>
        <w:rPr>
          <w:rFonts w:hint="eastAsia" w:ascii="宋体" w:hAnsi="宋体"/>
          <w:sz w:val="24"/>
        </w:rPr>
        <w:t>①开标评审人员均按项目类别由系统随机在金龙公司的开标评审人才库随机抽选；</w:t>
      </w:r>
    </w:p>
    <w:p>
      <w:pPr>
        <w:spacing w:line="440" w:lineRule="exact"/>
        <w:ind w:firstLine="480" w:firstLineChars="200"/>
        <w:rPr>
          <w:rFonts w:hint="eastAsia" w:ascii="宋体" w:hAnsi="宋体"/>
          <w:sz w:val="24"/>
        </w:rPr>
      </w:pPr>
      <w:r>
        <w:rPr>
          <w:rFonts w:hint="eastAsia" w:ascii="宋体" w:hAnsi="宋体"/>
          <w:sz w:val="24"/>
        </w:rPr>
        <w:t>②针对技术复杂、专业性强或者存在特殊原因的由招标中心根据情况指定评标人员。</w:t>
      </w:r>
    </w:p>
    <w:p>
      <w:pPr>
        <w:spacing w:line="440" w:lineRule="exact"/>
        <w:ind w:firstLine="480" w:firstLineChars="200"/>
        <w:rPr>
          <w:rFonts w:hint="eastAsia" w:ascii="宋体" w:hAnsi="宋体"/>
          <w:sz w:val="24"/>
          <w:lang w:val="zh-CN"/>
        </w:rPr>
      </w:pPr>
      <w:r>
        <w:rPr>
          <w:rFonts w:hint="eastAsia" w:ascii="宋体" w:hAnsi="宋体"/>
          <w:sz w:val="24"/>
        </w:rPr>
        <w:t>③评标人员成员一般为5人及以上单数。</w:t>
      </w:r>
    </w:p>
    <w:p>
      <w:pPr>
        <w:pStyle w:val="14"/>
        <w:numPr>
          <w:ilvl w:val="0"/>
          <w:numId w:val="2"/>
        </w:numPr>
        <w:spacing w:line="440" w:lineRule="exact"/>
        <w:ind w:left="0" w:firstLine="480"/>
        <w:rPr>
          <w:rFonts w:hint="eastAsia" w:ascii="宋体" w:hAnsi="宋体"/>
          <w:lang w:val="zh-CN"/>
        </w:rPr>
      </w:pPr>
      <w:r>
        <w:rPr>
          <w:rFonts w:ascii="宋体" w:hAnsi="宋体"/>
          <w:lang w:val="zh-CN"/>
        </w:rPr>
        <w:t>由</w:t>
      </w:r>
      <w:r>
        <w:rPr>
          <w:rFonts w:hint="eastAsia" w:ascii="宋体" w:hAnsi="宋体"/>
        </w:rPr>
        <w:t>招标评审小组成员</w:t>
      </w:r>
      <w:r>
        <w:rPr>
          <w:rFonts w:ascii="宋体" w:hAnsi="宋体"/>
          <w:lang w:val="zh-CN"/>
        </w:rPr>
        <w:t>根据</w:t>
      </w:r>
      <w:r>
        <w:rPr>
          <w:rFonts w:hint="eastAsia" w:ascii="宋体" w:hAnsi="宋体"/>
          <w:lang w:val="zh-CN"/>
        </w:rPr>
        <w:t>招标文件</w:t>
      </w:r>
      <w:r>
        <w:rPr>
          <w:rFonts w:hint="eastAsia" w:ascii="宋体" w:hAnsi="宋体"/>
        </w:rPr>
        <w:t>审核的</w:t>
      </w:r>
      <w:r>
        <w:rPr>
          <w:rFonts w:ascii="宋体" w:hAnsi="宋体"/>
          <w:lang w:val="zh-CN"/>
        </w:rPr>
        <w:t>要求</w:t>
      </w:r>
      <w:r>
        <w:rPr>
          <w:rFonts w:hint="eastAsia" w:ascii="宋体" w:hAnsi="宋体"/>
          <w:lang w:val="zh-CN"/>
        </w:rPr>
        <w:t>（</w:t>
      </w:r>
      <w:r>
        <w:rPr>
          <w:rFonts w:hint="eastAsia" w:ascii="宋体" w:hAnsi="宋体"/>
        </w:rPr>
        <w:t>评审项目、内容、相关佐证材料</w:t>
      </w:r>
      <w:r>
        <w:rPr>
          <w:rFonts w:hint="eastAsia" w:ascii="宋体" w:hAnsi="宋体"/>
          <w:lang w:val="zh-CN"/>
        </w:rPr>
        <w:t>）、</w:t>
      </w:r>
      <w:r>
        <w:rPr>
          <w:rFonts w:hint="eastAsia" w:ascii="宋体" w:hAnsi="宋体"/>
        </w:rPr>
        <w:t>评分标准和计分方法</w:t>
      </w:r>
      <w:r>
        <w:rPr>
          <w:rFonts w:ascii="宋体" w:hAnsi="宋体"/>
          <w:lang w:val="zh-CN"/>
        </w:rPr>
        <w:t>，审核</w:t>
      </w:r>
      <w:r>
        <w:rPr>
          <w:rFonts w:hint="eastAsia" w:ascii="宋体" w:hAnsi="宋体"/>
        </w:rPr>
        <w:t>和评审</w:t>
      </w:r>
      <w:r>
        <w:rPr>
          <w:rFonts w:ascii="宋体" w:hAnsi="宋体"/>
          <w:lang w:val="zh-CN"/>
        </w:rPr>
        <w:t>各</w:t>
      </w:r>
      <w:r>
        <w:rPr>
          <w:rFonts w:hint="eastAsia" w:ascii="宋体" w:hAnsi="宋体"/>
          <w:lang w:val="zh-CN"/>
        </w:rPr>
        <w:t>投标方的</w:t>
      </w:r>
      <w:r>
        <w:rPr>
          <w:rFonts w:ascii="宋体" w:hAnsi="宋体"/>
          <w:lang w:val="zh-CN"/>
        </w:rPr>
        <w:t>投标文件</w:t>
      </w:r>
      <w:r>
        <w:rPr>
          <w:rFonts w:hint="eastAsia" w:ascii="宋体" w:hAnsi="宋体"/>
        </w:rPr>
        <w:t>的审核部分</w:t>
      </w:r>
      <w:r>
        <w:rPr>
          <w:rFonts w:ascii="宋体" w:hAnsi="宋体"/>
          <w:lang w:val="zh-CN"/>
        </w:rPr>
        <w:t>是否合格、有效</w:t>
      </w:r>
      <w:r>
        <w:rPr>
          <w:rFonts w:hint="eastAsia" w:ascii="宋体" w:hAnsi="宋体"/>
        </w:rPr>
        <w:t>或评价审核得分</w:t>
      </w:r>
      <w:r>
        <w:rPr>
          <w:rFonts w:hint="eastAsia" w:ascii="宋体" w:hAnsi="宋体"/>
          <w:lang w:val="zh-CN"/>
        </w:rPr>
        <w:t>（</w:t>
      </w:r>
      <w:r>
        <w:rPr>
          <w:rFonts w:ascii="宋体" w:hAnsi="宋体"/>
          <w:lang w:val="zh-CN"/>
        </w:rPr>
        <w:t>凡不符合专业条件要求</w:t>
      </w:r>
      <w:r>
        <w:rPr>
          <w:rFonts w:hint="eastAsia" w:ascii="宋体" w:hAnsi="宋体"/>
          <w:lang w:val="zh-CN"/>
        </w:rPr>
        <w:t>项</w:t>
      </w:r>
      <w:r>
        <w:rPr>
          <w:rFonts w:ascii="宋体" w:hAnsi="宋体"/>
          <w:lang w:val="zh-CN"/>
        </w:rPr>
        <w:t>和未实质性响应</w:t>
      </w:r>
      <w:r>
        <w:rPr>
          <w:rFonts w:hint="eastAsia" w:ascii="宋体" w:hAnsi="宋体"/>
        </w:rPr>
        <w:t>审核</w:t>
      </w:r>
      <w:r>
        <w:rPr>
          <w:rFonts w:hint="eastAsia" w:ascii="宋体" w:hAnsi="宋体"/>
          <w:lang w:val="zh-CN"/>
        </w:rPr>
        <w:t>文件</w:t>
      </w:r>
      <w:r>
        <w:rPr>
          <w:rFonts w:ascii="宋体" w:hAnsi="宋体"/>
          <w:lang w:val="zh-CN"/>
        </w:rPr>
        <w:t>要求的</w:t>
      </w:r>
      <w:r>
        <w:rPr>
          <w:rFonts w:hint="eastAsia" w:ascii="宋体" w:hAnsi="宋体"/>
          <w:lang w:val="zh-CN"/>
        </w:rPr>
        <w:t>内容项</w:t>
      </w:r>
      <w:r>
        <w:rPr>
          <w:rFonts w:ascii="宋体" w:hAnsi="宋体"/>
          <w:lang w:val="zh-CN"/>
        </w:rPr>
        <w:t>均不</w:t>
      </w:r>
      <w:r>
        <w:rPr>
          <w:rFonts w:hint="eastAsia" w:ascii="宋体" w:hAnsi="宋体"/>
          <w:lang w:val="zh-CN"/>
        </w:rPr>
        <w:t>得分）</w:t>
      </w:r>
      <w:r>
        <w:rPr>
          <w:rFonts w:ascii="宋体" w:hAnsi="宋体"/>
          <w:lang w:val="zh-CN"/>
        </w:rPr>
        <w:t>。</w:t>
      </w:r>
    </w:p>
    <w:p>
      <w:pPr>
        <w:pStyle w:val="14"/>
        <w:numPr>
          <w:ilvl w:val="0"/>
          <w:numId w:val="2"/>
        </w:numPr>
        <w:spacing w:line="440" w:lineRule="exact"/>
        <w:ind w:left="0" w:firstLine="480"/>
        <w:rPr>
          <w:rFonts w:hint="eastAsia" w:ascii="宋体" w:hAnsi="宋体"/>
          <w:lang w:val="zh-CN"/>
        </w:rPr>
      </w:pPr>
      <w:r>
        <w:rPr>
          <w:rFonts w:ascii="宋体" w:hAnsi="宋体"/>
          <w:lang w:val="zh-CN"/>
        </w:rPr>
        <w:t>通过</w:t>
      </w:r>
      <w:r>
        <w:rPr>
          <w:rFonts w:hint="eastAsia" w:ascii="宋体" w:hAnsi="宋体"/>
          <w:lang w:val="zh-CN"/>
        </w:rPr>
        <w:t>企业入围预审审核的入围投标方</w:t>
      </w:r>
      <w:r>
        <w:rPr>
          <w:rFonts w:ascii="宋体" w:hAnsi="宋体"/>
          <w:lang w:val="zh-CN"/>
        </w:rPr>
        <w:t>，</w:t>
      </w:r>
      <w:r>
        <w:rPr>
          <w:rFonts w:hint="eastAsia" w:ascii="宋体" w:hAnsi="宋体"/>
        </w:rPr>
        <w:t>按照供应商能力审核评审项目/评分标准的评分标准和计分方法，对其供应商能力项进行评分和计分。</w:t>
      </w:r>
    </w:p>
    <w:p>
      <w:pPr>
        <w:pStyle w:val="14"/>
        <w:numPr>
          <w:ilvl w:val="0"/>
          <w:numId w:val="2"/>
        </w:numPr>
        <w:spacing w:line="440" w:lineRule="exact"/>
        <w:ind w:left="0" w:firstLine="480"/>
        <w:rPr>
          <w:rFonts w:hint="eastAsia" w:ascii="宋体" w:hAnsi="宋体"/>
          <w:lang w:val="zh-CN"/>
        </w:rPr>
      </w:pPr>
      <w:r>
        <w:rPr>
          <w:rFonts w:hint="eastAsia" w:ascii="宋体" w:hAnsi="宋体"/>
        </w:rPr>
        <w:t>根据商务价格评分标准和计分方法,对其投标报价项进行评分和计分。</w:t>
      </w:r>
    </w:p>
    <w:p>
      <w:pPr>
        <w:pStyle w:val="14"/>
        <w:numPr>
          <w:ilvl w:val="0"/>
          <w:numId w:val="2"/>
        </w:numPr>
        <w:spacing w:line="440" w:lineRule="exact"/>
        <w:ind w:left="0" w:firstLine="480"/>
        <w:rPr>
          <w:rFonts w:hint="eastAsia" w:ascii="宋体" w:hAnsi="宋体"/>
          <w:lang w:val="zh-CN"/>
        </w:rPr>
      </w:pPr>
      <w:r>
        <w:rPr>
          <w:rFonts w:hint="eastAsia" w:ascii="宋体" w:hAnsi="宋体"/>
        </w:rPr>
        <w:t>根据供应商能力项的评分、商务价格项的评分的分配分值权重进行加权计算，计算出评标评审的最终综合评估分数，并按照从高到低依次进行排名，得出评审结果</w:t>
      </w:r>
      <w:bookmarkEnd w:id="9"/>
      <w:r>
        <w:rPr>
          <w:rFonts w:hint="eastAsia" w:ascii="宋体" w:hAnsi="宋体"/>
        </w:rPr>
        <w:t>。</w:t>
      </w:r>
    </w:p>
    <w:p>
      <w:pPr>
        <w:pStyle w:val="14"/>
        <w:numPr>
          <w:ilvl w:val="0"/>
          <w:numId w:val="1"/>
        </w:numPr>
        <w:spacing w:before="156" w:beforeLines="50" w:after="156" w:afterLines="50" w:line="440" w:lineRule="exact"/>
        <w:ind w:left="442" w:hanging="442" w:firstLineChars="0"/>
        <w:outlineLvl w:val="1"/>
        <w:rPr>
          <w:rFonts w:hint="eastAsia" w:ascii="宋体" w:hAnsi="宋体"/>
          <w:b/>
          <w:color w:val="FF0000"/>
          <w:sz w:val="28"/>
          <w:szCs w:val="28"/>
          <w:lang w:val="zh-CN"/>
        </w:rPr>
      </w:pPr>
      <w:r>
        <w:rPr>
          <w:rFonts w:hint="eastAsia" w:ascii="宋体" w:hAnsi="宋体"/>
          <w:b/>
          <w:sz w:val="28"/>
          <w:szCs w:val="28"/>
          <w:lang w:val="zh-CN"/>
        </w:rPr>
        <w:t>评标标准</w:t>
      </w:r>
    </w:p>
    <w:p>
      <w:pPr>
        <w:numPr>
          <w:ilvl w:val="0"/>
          <w:numId w:val="3"/>
        </w:numPr>
        <w:spacing w:before="156" w:beforeLines="50" w:after="156" w:afterLines="50" w:line="440" w:lineRule="exact"/>
        <w:outlineLvl w:val="2"/>
        <w:rPr>
          <w:rFonts w:hint="eastAsia" w:ascii="宋体" w:hAnsi="宋体" w:cs="宋体"/>
          <w:b/>
          <w:sz w:val="24"/>
          <w:szCs w:val="24"/>
          <w:lang w:val="zh-CN"/>
        </w:rPr>
      </w:pPr>
      <w:r>
        <w:rPr>
          <w:rFonts w:hint="eastAsia" w:ascii="宋体" w:hAnsi="宋体" w:cs="宋体"/>
          <w:b/>
          <w:sz w:val="24"/>
          <w:szCs w:val="24"/>
        </w:rPr>
        <w:t>供应商能力审核维度</w:t>
      </w:r>
      <w:r>
        <w:rPr>
          <w:rFonts w:hint="eastAsia" w:ascii="宋体" w:hAnsi="宋体" w:cs="宋体"/>
          <w:b/>
          <w:sz w:val="24"/>
          <w:szCs w:val="24"/>
          <w:lang w:val="zh-CN"/>
        </w:rPr>
        <w:t>F1（满分</w:t>
      </w:r>
      <w:r>
        <w:rPr>
          <w:rFonts w:hint="eastAsia" w:ascii="宋体" w:hAnsi="宋体" w:cs="宋体"/>
          <w:b/>
          <w:sz w:val="24"/>
          <w:szCs w:val="24"/>
        </w:rPr>
        <w:t>100分，综合评审分配分值权重</w:t>
      </w:r>
      <w:r>
        <w:rPr>
          <w:rFonts w:hint="eastAsia" w:ascii="宋体" w:hAnsi="宋体" w:cs="宋体"/>
          <w:b/>
          <w:color w:val="FF0000"/>
          <w:sz w:val="24"/>
          <w:szCs w:val="24"/>
        </w:rPr>
        <w:t>50%</w:t>
      </w:r>
      <w:r>
        <w:rPr>
          <w:rFonts w:hint="eastAsia" w:ascii="宋体" w:hAnsi="宋体" w:cs="宋体"/>
          <w:b/>
          <w:sz w:val="24"/>
          <w:szCs w:val="24"/>
          <w:lang w:val="zh-CN"/>
        </w:rPr>
        <w:t>）</w:t>
      </w:r>
    </w:p>
    <w:p>
      <w:pPr>
        <w:spacing w:line="440" w:lineRule="exact"/>
        <w:ind w:firstLine="480" w:firstLineChars="200"/>
        <w:rPr>
          <w:rFonts w:hint="eastAsia" w:ascii="宋体" w:hAnsi="宋体" w:cs="宋体"/>
          <w:bCs/>
          <w:sz w:val="24"/>
          <w:szCs w:val="24"/>
          <w:lang w:val="zh-CN"/>
        </w:rPr>
      </w:pPr>
      <w:r>
        <w:rPr>
          <w:rFonts w:hint="eastAsia" w:ascii="宋体" w:hAnsi="宋体" w:cs="宋体"/>
          <w:bCs/>
          <w:sz w:val="24"/>
          <w:szCs w:val="24"/>
        </w:rPr>
        <w:t>供应商能力评审项目分为技术T/品质Q/供应能力D/售后服务S四个分项，按表一内容及评审项目/评分标准进行评审，各分项总分均为1</w:t>
      </w:r>
      <w:r>
        <w:rPr>
          <w:rFonts w:ascii="宋体" w:hAnsi="宋体" w:cs="宋体"/>
          <w:bCs/>
          <w:sz w:val="24"/>
          <w:szCs w:val="24"/>
        </w:rPr>
        <w:t>00</w:t>
      </w:r>
      <w:r>
        <w:rPr>
          <w:rFonts w:hint="eastAsia" w:ascii="宋体" w:hAnsi="宋体" w:cs="宋体"/>
          <w:bCs/>
          <w:sz w:val="24"/>
          <w:szCs w:val="24"/>
        </w:rPr>
        <w:t>分，最终各分项按分配的分值权重计算汇总成为供应商能力评审综合得分。</w:t>
      </w:r>
    </w:p>
    <w:p>
      <w:pPr>
        <w:spacing w:line="440" w:lineRule="exact"/>
        <w:ind w:firstLine="200"/>
        <w:rPr>
          <w:rFonts w:hint="eastAsia" w:ascii="宋体" w:hAnsi="宋体" w:cs="宋体"/>
          <w:bCs/>
          <w:sz w:val="24"/>
          <w:szCs w:val="24"/>
        </w:rPr>
      </w:pPr>
      <w:bookmarkStart w:id="10" w:name="OLE_LINK1"/>
      <w:r>
        <w:rPr>
          <w:rFonts w:hint="eastAsia" w:ascii="宋体" w:hAnsi="宋体" w:cs="宋体"/>
          <w:bCs/>
          <w:sz w:val="24"/>
          <w:szCs w:val="24"/>
          <w:lang w:val="zh-CN"/>
        </w:rPr>
        <w:t>详见附件</w:t>
      </w:r>
      <w:r>
        <w:rPr>
          <w:rFonts w:hint="eastAsia" w:ascii="宋体" w:hAnsi="宋体" w:cs="宋体"/>
          <w:bCs/>
          <w:sz w:val="24"/>
          <w:szCs w:val="24"/>
        </w:rPr>
        <w:t>见表一：</w:t>
      </w:r>
      <w:bookmarkEnd w:id="10"/>
      <w:r>
        <w:rPr>
          <w:rFonts w:hint="eastAsia" w:ascii="宋体" w:hAnsi="宋体"/>
          <w:bCs/>
          <w:sz w:val="24"/>
        </w:rPr>
        <w:t>供应商能力评审</w:t>
      </w:r>
      <w:r>
        <w:rPr>
          <w:rFonts w:hint="eastAsia" w:ascii="宋体" w:hAnsi="宋体" w:cs="宋体"/>
          <w:bCs/>
          <w:sz w:val="24"/>
          <w:szCs w:val="24"/>
        </w:rPr>
        <w:t>项目/评分标准</w:t>
      </w:r>
    </w:p>
    <w:p>
      <w:pPr>
        <w:spacing w:line="440" w:lineRule="exact"/>
        <w:ind w:firstLine="482" w:firstLineChars="200"/>
        <w:rPr>
          <w:rFonts w:hint="eastAsia" w:ascii="宋体" w:hAnsi="宋体" w:cs="宋体"/>
          <w:b/>
          <w:color w:val="FF0000"/>
          <w:sz w:val="24"/>
          <w:szCs w:val="24"/>
        </w:rPr>
      </w:pPr>
      <w:r>
        <w:rPr>
          <w:rFonts w:hint="eastAsia" w:ascii="宋体" w:hAnsi="宋体" w:cs="宋体"/>
          <w:b/>
          <w:color w:val="FF0000"/>
          <w:sz w:val="24"/>
          <w:szCs w:val="24"/>
        </w:rPr>
        <w:t>开发件状态：</w:t>
      </w:r>
      <w:r>
        <w:rPr>
          <w:rFonts w:hint="eastAsia" w:ascii="宋体" w:hAnsi="宋体" w:cs="宋体"/>
          <w:b/>
          <w:sz w:val="24"/>
          <w:szCs w:val="24"/>
        </w:rPr>
        <w:t>F1=T</w:t>
      </w:r>
      <w:r>
        <w:rPr>
          <w:rFonts w:hint="eastAsia" w:ascii="宋体" w:hAnsi="宋体" w:cs="宋体"/>
          <w:b/>
          <w:color w:val="FF0000"/>
          <w:sz w:val="24"/>
          <w:szCs w:val="24"/>
        </w:rPr>
        <w:t>*</w:t>
      </w:r>
      <w:r>
        <w:rPr>
          <w:rFonts w:hint="eastAsia" w:ascii="宋体" w:hAnsi="宋体" w:cs="宋体"/>
          <w:b/>
          <w:color w:val="FF0000"/>
          <w:sz w:val="24"/>
          <w:szCs w:val="24"/>
          <w:lang w:val="en-US" w:eastAsia="zh-CN"/>
        </w:rPr>
        <w:t>60</w:t>
      </w:r>
      <w:r>
        <w:rPr>
          <w:rFonts w:hint="eastAsia" w:ascii="宋体" w:hAnsi="宋体" w:cs="宋体"/>
          <w:b/>
          <w:color w:val="FF0000"/>
          <w:sz w:val="24"/>
          <w:szCs w:val="24"/>
        </w:rPr>
        <w:t>%</w:t>
      </w:r>
      <w:r>
        <w:rPr>
          <w:rFonts w:hint="eastAsia" w:ascii="宋体" w:hAnsi="宋体" w:cs="宋体"/>
          <w:b/>
          <w:sz w:val="24"/>
          <w:szCs w:val="24"/>
        </w:rPr>
        <w:t>+Q</w:t>
      </w:r>
      <w:r>
        <w:rPr>
          <w:rFonts w:hint="eastAsia" w:ascii="宋体" w:hAnsi="宋体" w:cs="宋体"/>
          <w:b/>
          <w:color w:val="FF0000"/>
          <w:sz w:val="24"/>
          <w:szCs w:val="24"/>
        </w:rPr>
        <w:t>*</w:t>
      </w:r>
      <w:r>
        <w:rPr>
          <w:rFonts w:hint="eastAsia" w:ascii="宋体" w:hAnsi="宋体" w:cs="宋体"/>
          <w:b/>
          <w:color w:val="FF0000"/>
          <w:sz w:val="24"/>
          <w:szCs w:val="24"/>
          <w:lang w:val="en-US" w:eastAsia="zh-CN"/>
        </w:rPr>
        <w:t>20</w:t>
      </w:r>
      <w:r>
        <w:rPr>
          <w:rFonts w:hint="eastAsia" w:ascii="宋体" w:hAnsi="宋体" w:cs="宋体"/>
          <w:b/>
          <w:color w:val="FF0000"/>
          <w:sz w:val="24"/>
          <w:szCs w:val="24"/>
        </w:rPr>
        <w:t>%</w:t>
      </w:r>
      <w:r>
        <w:rPr>
          <w:rFonts w:hint="eastAsia" w:ascii="宋体" w:hAnsi="宋体" w:cs="宋体"/>
          <w:b/>
          <w:sz w:val="24"/>
          <w:szCs w:val="24"/>
        </w:rPr>
        <w:t>+D</w:t>
      </w:r>
      <w:r>
        <w:rPr>
          <w:rFonts w:hint="eastAsia" w:ascii="宋体" w:hAnsi="宋体" w:cs="宋体"/>
          <w:b/>
          <w:color w:val="FF0000"/>
          <w:sz w:val="24"/>
          <w:szCs w:val="24"/>
        </w:rPr>
        <w:t>*1</w:t>
      </w:r>
      <w:r>
        <w:rPr>
          <w:rFonts w:hint="eastAsia" w:ascii="宋体" w:hAnsi="宋体" w:cs="宋体"/>
          <w:b/>
          <w:color w:val="FF0000"/>
          <w:sz w:val="24"/>
          <w:szCs w:val="24"/>
          <w:lang w:val="en-US" w:eastAsia="zh-CN"/>
        </w:rPr>
        <w:t>0</w:t>
      </w:r>
      <w:r>
        <w:rPr>
          <w:rFonts w:hint="eastAsia" w:ascii="宋体" w:hAnsi="宋体" w:cs="宋体"/>
          <w:b/>
          <w:color w:val="FF0000"/>
          <w:sz w:val="24"/>
          <w:szCs w:val="24"/>
        </w:rPr>
        <w:t>%</w:t>
      </w:r>
      <w:r>
        <w:rPr>
          <w:rFonts w:hint="eastAsia" w:ascii="宋体" w:hAnsi="宋体" w:cs="宋体"/>
          <w:b/>
          <w:sz w:val="24"/>
          <w:szCs w:val="24"/>
        </w:rPr>
        <w:t>+S</w:t>
      </w:r>
      <w:r>
        <w:rPr>
          <w:rFonts w:hint="eastAsia" w:ascii="宋体" w:hAnsi="宋体" w:cs="宋体"/>
          <w:b/>
          <w:color w:val="FF0000"/>
          <w:sz w:val="24"/>
          <w:szCs w:val="24"/>
        </w:rPr>
        <w:t>*1</w:t>
      </w:r>
      <w:r>
        <w:rPr>
          <w:rFonts w:ascii="宋体" w:hAnsi="宋体" w:cs="宋体"/>
          <w:b/>
          <w:color w:val="FF0000"/>
          <w:sz w:val="24"/>
          <w:szCs w:val="24"/>
        </w:rPr>
        <w:t>0</w:t>
      </w:r>
      <w:r>
        <w:rPr>
          <w:rFonts w:hint="eastAsia" w:ascii="宋体" w:hAnsi="宋体" w:cs="宋体"/>
          <w:b/>
          <w:color w:val="FF0000"/>
          <w:sz w:val="24"/>
          <w:szCs w:val="24"/>
        </w:rPr>
        <w:t xml:space="preserve">% </w:t>
      </w:r>
    </w:p>
    <w:p>
      <w:pPr>
        <w:numPr>
          <w:ilvl w:val="0"/>
          <w:numId w:val="3"/>
        </w:numPr>
        <w:spacing w:before="156" w:beforeLines="50" w:after="156" w:afterLines="50" w:line="440" w:lineRule="exact"/>
        <w:outlineLvl w:val="2"/>
        <w:rPr>
          <w:rFonts w:hint="eastAsia" w:ascii="宋体" w:hAnsi="宋体" w:cs="宋体"/>
          <w:b/>
          <w:sz w:val="24"/>
          <w:szCs w:val="24"/>
          <w:lang w:val="zh-CN"/>
        </w:rPr>
      </w:pPr>
      <w:r>
        <w:rPr>
          <w:rFonts w:hint="eastAsia" w:ascii="宋体" w:hAnsi="宋体" w:cs="宋体"/>
          <w:b/>
          <w:sz w:val="24"/>
          <w:szCs w:val="20"/>
        </w:rPr>
        <w:t>商务价格</w:t>
      </w:r>
      <w:r>
        <w:rPr>
          <w:rFonts w:hint="eastAsia" w:ascii="宋体" w:hAnsi="宋体" w:cs="宋体"/>
          <w:b/>
          <w:sz w:val="24"/>
          <w:szCs w:val="20"/>
          <w:lang w:val="zh-CN"/>
        </w:rPr>
        <w:t>维度F</w:t>
      </w:r>
      <w:r>
        <w:rPr>
          <w:rFonts w:hint="eastAsia" w:ascii="宋体" w:hAnsi="宋体" w:cs="宋体"/>
          <w:b/>
          <w:sz w:val="24"/>
          <w:szCs w:val="20"/>
        </w:rPr>
        <w:t>2</w:t>
      </w:r>
      <w:r>
        <w:rPr>
          <w:rFonts w:hint="eastAsia" w:ascii="宋体" w:hAnsi="宋体" w:cs="宋体"/>
          <w:b/>
          <w:sz w:val="24"/>
          <w:szCs w:val="20"/>
          <w:lang w:val="zh-CN"/>
        </w:rPr>
        <w:t>（满分</w:t>
      </w:r>
      <w:r>
        <w:rPr>
          <w:rFonts w:hint="eastAsia" w:ascii="宋体" w:hAnsi="宋体" w:cs="宋体"/>
          <w:b/>
          <w:sz w:val="24"/>
          <w:szCs w:val="20"/>
        </w:rPr>
        <w:t>100分，</w:t>
      </w:r>
      <w:r>
        <w:rPr>
          <w:rFonts w:hint="eastAsia" w:ascii="宋体" w:hAnsi="宋体" w:cs="宋体"/>
          <w:b/>
          <w:sz w:val="24"/>
          <w:szCs w:val="24"/>
        </w:rPr>
        <w:t>综合评审分配分值权重</w:t>
      </w:r>
      <w:r>
        <w:rPr>
          <w:rFonts w:hint="eastAsia" w:ascii="宋体" w:hAnsi="宋体" w:cs="宋体"/>
          <w:b/>
          <w:color w:val="FF0000"/>
          <w:sz w:val="24"/>
          <w:szCs w:val="24"/>
        </w:rPr>
        <w:t>50%</w:t>
      </w:r>
      <w:r>
        <w:rPr>
          <w:rFonts w:hint="eastAsia" w:ascii="宋体" w:hAnsi="宋体" w:cs="宋体"/>
          <w:b/>
          <w:sz w:val="24"/>
          <w:szCs w:val="20"/>
        </w:rPr>
        <w:t>）</w:t>
      </w:r>
    </w:p>
    <w:p>
      <w:pPr>
        <w:spacing w:line="440" w:lineRule="exact"/>
        <w:rPr>
          <w:rFonts w:hint="eastAsia" w:ascii="宋体" w:hAnsi="宋体" w:cs="宋体"/>
          <w:bCs/>
          <w:sz w:val="24"/>
          <w:szCs w:val="24"/>
        </w:rPr>
      </w:pPr>
      <w:r>
        <w:rPr>
          <w:rFonts w:hint="eastAsia" w:ascii="宋体" w:hAnsi="宋体" w:cs="宋体"/>
          <w:bCs/>
          <w:sz w:val="24"/>
          <w:szCs w:val="24"/>
          <w:lang w:val="zh-CN"/>
        </w:rPr>
        <w:t>详见附件</w:t>
      </w:r>
      <w:r>
        <w:rPr>
          <w:rFonts w:hint="eastAsia" w:ascii="宋体" w:hAnsi="宋体" w:cs="宋体"/>
          <w:bCs/>
          <w:sz w:val="24"/>
          <w:szCs w:val="24"/>
        </w:rPr>
        <w:t>见表二：供应商商务价格评审项目/评分标准</w:t>
      </w:r>
    </w:p>
    <w:p>
      <w:pPr>
        <w:spacing w:line="440" w:lineRule="exact"/>
        <w:ind w:firstLine="482" w:firstLineChars="200"/>
        <w:rPr>
          <w:rFonts w:hint="eastAsia" w:ascii="宋体" w:hAnsi="宋体" w:cs="宋体"/>
          <w:b/>
          <w:color w:val="FF0000"/>
          <w:sz w:val="24"/>
          <w:szCs w:val="24"/>
        </w:rPr>
      </w:pPr>
      <w:r>
        <w:rPr>
          <w:rFonts w:hint="eastAsia" w:ascii="宋体" w:hAnsi="宋体" w:cs="宋体"/>
          <w:b/>
          <w:color w:val="FF0000"/>
          <w:sz w:val="24"/>
          <w:szCs w:val="24"/>
        </w:rPr>
        <w:t>比值法</w:t>
      </w:r>
    </w:p>
    <w:p>
      <w:pPr>
        <w:numPr>
          <w:ilvl w:val="0"/>
          <w:numId w:val="3"/>
        </w:numPr>
        <w:spacing w:after="156" w:afterLines="50" w:line="440" w:lineRule="exact"/>
        <w:outlineLvl w:val="2"/>
        <w:rPr>
          <w:rFonts w:hint="eastAsia" w:ascii="宋体" w:hAnsi="宋体" w:cs="宋体"/>
          <w:b/>
          <w:sz w:val="24"/>
          <w:szCs w:val="24"/>
          <w:lang w:val="zh-CN"/>
        </w:rPr>
      </w:pPr>
      <w:r>
        <w:rPr>
          <w:rFonts w:hint="eastAsia" w:ascii="宋体" w:hAnsi="宋体" w:cs="宋体"/>
          <w:b/>
          <w:sz w:val="24"/>
          <w:lang w:val="zh-CN"/>
        </w:rPr>
        <w:t>评审</w:t>
      </w:r>
      <w:r>
        <w:rPr>
          <w:rFonts w:hint="eastAsia" w:ascii="宋体" w:hAnsi="宋体" w:cs="宋体"/>
          <w:b/>
          <w:sz w:val="24"/>
        </w:rPr>
        <w:t>综合</w:t>
      </w:r>
      <w:r>
        <w:rPr>
          <w:rFonts w:hint="eastAsia" w:ascii="宋体" w:hAnsi="宋体" w:cs="宋体"/>
          <w:b/>
          <w:sz w:val="24"/>
          <w:lang w:val="zh-CN"/>
        </w:rPr>
        <w:t>得分汇总</w:t>
      </w:r>
    </w:p>
    <w:p>
      <w:pPr>
        <w:tabs>
          <w:tab w:val="left" w:pos="0"/>
        </w:tabs>
        <w:spacing w:line="440" w:lineRule="exact"/>
        <w:ind w:firstLine="460" w:firstLineChars="192"/>
        <w:rPr>
          <w:rFonts w:hint="eastAsia" w:ascii="宋体" w:hAnsi="宋体"/>
          <w:kern w:val="0"/>
          <w:sz w:val="24"/>
        </w:rPr>
      </w:pPr>
      <w:r>
        <w:rPr>
          <w:rFonts w:hint="eastAsia" w:ascii="宋体" w:hAnsi="宋体"/>
          <w:kern w:val="0"/>
          <w:sz w:val="24"/>
        </w:rPr>
        <w:t>各部分评分分值分布及评分标准如下:</w:t>
      </w:r>
    </w:p>
    <w:p>
      <w:pPr>
        <w:tabs>
          <w:tab w:val="left" w:pos="0"/>
        </w:tabs>
        <w:spacing w:line="440" w:lineRule="exact"/>
        <w:ind w:firstLine="460" w:firstLineChars="192"/>
        <w:rPr>
          <w:rFonts w:hint="eastAsia" w:ascii="宋体" w:hAnsi="宋体"/>
          <w:kern w:val="0"/>
          <w:sz w:val="24"/>
        </w:rPr>
      </w:pPr>
      <w:r>
        <w:rPr>
          <w:rFonts w:hint="eastAsia" w:ascii="宋体" w:hAnsi="宋体"/>
          <w:kern w:val="0"/>
          <w:sz w:val="24"/>
        </w:rPr>
        <w:t>对各评审评委的供应商能力部分、商务价格部分评分结果进行统计，</w:t>
      </w:r>
      <w:r>
        <w:rPr>
          <w:rFonts w:hint="eastAsia" w:ascii="宋体" w:hAnsi="宋体" w:cs="宋体"/>
          <w:bCs/>
          <w:sz w:val="24"/>
          <w:szCs w:val="24"/>
        </w:rPr>
        <w:t>按分配的分值权重</w:t>
      </w:r>
      <w:r>
        <w:rPr>
          <w:rFonts w:hint="eastAsia" w:ascii="宋体" w:hAnsi="宋体"/>
          <w:kern w:val="0"/>
          <w:sz w:val="24"/>
        </w:rPr>
        <w:t>计算</w:t>
      </w:r>
      <w:r>
        <w:rPr>
          <w:rFonts w:hint="eastAsia" w:ascii="宋体" w:hAnsi="宋体" w:cs="宋体"/>
          <w:bCs/>
          <w:sz w:val="24"/>
          <w:szCs w:val="24"/>
        </w:rPr>
        <w:t>汇总</w:t>
      </w:r>
      <w:r>
        <w:rPr>
          <w:rFonts w:hint="eastAsia" w:ascii="宋体" w:hAnsi="宋体"/>
          <w:kern w:val="0"/>
          <w:sz w:val="24"/>
        </w:rPr>
        <w:t>出最终评审综合得分，各项分数均保留至小数点后2位数（第3位四舍五入）。</w:t>
      </w:r>
    </w:p>
    <w:p>
      <w:pPr>
        <w:tabs>
          <w:tab w:val="left" w:pos="0"/>
        </w:tabs>
        <w:spacing w:line="440" w:lineRule="exact"/>
        <w:ind w:firstLine="463" w:firstLineChars="192"/>
        <w:rPr>
          <w:rFonts w:hint="eastAsia" w:ascii="宋体" w:hAnsi="宋体" w:cs="宋体"/>
          <w:b/>
          <w:sz w:val="24"/>
          <w:szCs w:val="20"/>
        </w:rPr>
      </w:pPr>
      <w:r>
        <w:rPr>
          <w:rFonts w:hint="eastAsia" w:ascii="宋体" w:hAnsi="宋体"/>
          <w:b/>
          <w:sz w:val="24"/>
        </w:rPr>
        <w:t>综合得分＝F1*</w:t>
      </w:r>
      <w:r>
        <w:rPr>
          <w:rFonts w:hint="eastAsia" w:ascii="宋体" w:hAnsi="宋体"/>
          <w:b/>
          <w:color w:val="FF0000"/>
          <w:sz w:val="24"/>
        </w:rPr>
        <w:t>50%</w:t>
      </w:r>
      <w:r>
        <w:rPr>
          <w:rFonts w:hint="eastAsia" w:ascii="宋体" w:hAnsi="宋体"/>
          <w:b/>
          <w:sz w:val="24"/>
        </w:rPr>
        <w:t>+ F2*</w:t>
      </w:r>
      <w:r>
        <w:rPr>
          <w:rFonts w:hint="eastAsia" w:ascii="宋体" w:hAnsi="宋体"/>
          <w:b/>
          <w:color w:val="FF0000"/>
          <w:sz w:val="24"/>
        </w:rPr>
        <w:t xml:space="preserve">50% </w:t>
      </w:r>
    </w:p>
    <w:p>
      <w:pPr>
        <w:numPr>
          <w:ilvl w:val="0"/>
          <w:numId w:val="3"/>
        </w:numPr>
        <w:spacing w:before="156" w:beforeLines="50" w:after="156" w:afterLines="50" w:line="440" w:lineRule="exact"/>
        <w:outlineLvl w:val="2"/>
        <w:rPr>
          <w:rFonts w:hint="eastAsia" w:ascii="宋体" w:hAnsi="宋体" w:cs="宋体"/>
          <w:b/>
          <w:sz w:val="24"/>
          <w:szCs w:val="24"/>
          <w:lang w:val="zh-CN"/>
        </w:rPr>
      </w:pPr>
      <w:r>
        <w:rPr>
          <w:rFonts w:ascii="宋体" w:hAnsi="宋体" w:cs="宋体"/>
          <w:b/>
          <w:sz w:val="24"/>
          <w:lang w:val="zh-CN"/>
        </w:rPr>
        <w:t>推荐</w:t>
      </w:r>
      <w:r>
        <w:rPr>
          <w:rFonts w:hint="eastAsia" w:ascii="宋体" w:hAnsi="宋体" w:cs="宋体"/>
          <w:b/>
          <w:sz w:val="24"/>
          <w:lang w:val="zh-CN"/>
        </w:rPr>
        <w:t>中标候选人</w:t>
      </w:r>
      <w:r>
        <w:rPr>
          <w:rFonts w:ascii="宋体" w:hAnsi="宋体" w:cs="宋体"/>
          <w:b/>
          <w:sz w:val="24"/>
          <w:lang w:val="zh-CN"/>
        </w:rPr>
        <w:t>名单</w:t>
      </w:r>
    </w:p>
    <w:p>
      <w:pPr>
        <w:spacing w:line="440" w:lineRule="exact"/>
        <w:ind w:firstLine="475" w:firstLineChars="198"/>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rPr>
        <w:t xml:space="preserve"> </w:t>
      </w:r>
      <w:r>
        <w:rPr>
          <w:rFonts w:hint="eastAsia" w:ascii="宋体" w:hAnsi="宋体" w:cs="宋体"/>
          <w:b/>
          <w:color w:val="0000FF"/>
          <w:sz w:val="24"/>
          <w:u w:val="single"/>
        </w:rPr>
        <w:t xml:space="preserve">3 </w:t>
      </w:r>
      <w:r>
        <w:rPr>
          <w:rFonts w:ascii="宋体" w:hAnsi="宋体" w:cs="宋体"/>
          <w:b/>
          <w:sz w:val="24"/>
          <w:u w:val="single"/>
        </w:rPr>
        <w:t xml:space="preserve"> </w:t>
      </w:r>
      <w:r>
        <w:rPr>
          <w:rFonts w:ascii="宋体" w:hAnsi="宋体" w:cs="宋体"/>
          <w:sz w:val="24"/>
        </w:rPr>
        <w:t>个。</w:t>
      </w:r>
    </w:p>
    <w:p>
      <w:pPr>
        <w:spacing w:line="440" w:lineRule="exact"/>
        <w:ind w:firstLine="504" w:firstLineChars="21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w:t>
      </w:r>
      <w:r>
        <w:rPr>
          <w:rFonts w:hint="eastAsia" w:ascii="宋体" w:hAnsi="宋体" w:cs="宋体"/>
          <w:sz w:val="24"/>
        </w:rPr>
        <w:t>评审</w:t>
      </w:r>
      <w:r>
        <w:rPr>
          <w:rFonts w:ascii="宋体" w:hAnsi="宋体" w:cs="宋体"/>
          <w:sz w:val="24"/>
        </w:rPr>
        <w:t>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w:t>
      </w:r>
      <w:r>
        <w:rPr>
          <w:rFonts w:hint="eastAsia" w:ascii="宋体" w:hAnsi="宋体" w:cs="宋体"/>
          <w:bCs/>
          <w:sz w:val="24"/>
        </w:rPr>
        <w:t>商务报价分项</w:t>
      </w:r>
      <w:r>
        <w:rPr>
          <w:rFonts w:ascii="宋体" w:hAnsi="宋体" w:cs="宋体"/>
          <w:bCs/>
          <w:sz w:val="24"/>
        </w:rPr>
        <w:t>由低到高顺序排列</w:t>
      </w:r>
      <w:r>
        <w:rPr>
          <w:rFonts w:hint="eastAsia" w:ascii="宋体" w:hAnsi="宋体" w:cs="宋体"/>
          <w:bCs/>
          <w:sz w:val="24"/>
        </w:rPr>
        <w:t>；综合</w:t>
      </w:r>
      <w:r>
        <w:rPr>
          <w:rFonts w:ascii="宋体" w:hAnsi="宋体" w:cs="宋体"/>
          <w:bCs/>
          <w:sz w:val="24"/>
        </w:rPr>
        <w:t>得分且</w:t>
      </w:r>
      <w:r>
        <w:rPr>
          <w:rFonts w:hint="eastAsia" w:ascii="宋体" w:hAnsi="宋体" w:cs="宋体"/>
          <w:bCs/>
          <w:sz w:val="24"/>
        </w:rPr>
        <w:t>商务</w:t>
      </w:r>
      <w:r>
        <w:rPr>
          <w:rFonts w:ascii="宋体" w:hAnsi="宋体" w:cs="宋体"/>
          <w:bCs/>
          <w:sz w:val="24"/>
        </w:rPr>
        <w:t>报价相同的，按</w:t>
      </w:r>
      <w:r>
        <w:rPr>
          <w:rFonts w:hint="eastAsia" w:ascii="宋体" w:hAnsi="宋体" w:cs="宋体"/>
          <w:bCs/>
          <w:sz w:val="24"/>
        </w:rPr>
        <w:t>供应商在投标时的注册资本（若有入围预审的，以入围审核</w:t>
      </w:r>
      <w:r>
        <w:rPr>
          <w:rFonts w:ascii="宋体" w:hAnsi="宋体" w:cs="宋体"/>
          <w:bCs/>
          <w:sz w:val="24"/>
        </w:rPr>
        <w:t>得分</w:t>
      </w:r>
      <w:r>
        <w:rPr>
          <w:rFonts w:hint="eastAsia" w:ascii="宋体" w:hAnsi="宋体" w:cs="宋体"/>
          <w:bCs/>
          <w:sz w:val="24"/>
        </w:rPr>
        <w:t>）</w:t>
      </w:r>
      <w:r>
        <w:rPr>
          <w:rFonts w:ascii="宋体" w:hAnsi="宋体" w:cs="宋体"/>
          <w:bCs/>
          <w:sz w:val="24"/>
        </w:rPr>
        <w:t>由高到低顺序排列</w:t>
      </w:r>
      <w:r>
        <w:rPr>
          <w:rFonts w:hint="eastAsia" w:ascii="宋体" w:hAnsi="宋体" w:cs="宋体"/>
          <w:bCs/>
          <w:sz w:val="24"/>
        </w:rPr>
        <w:t>。</w:t>
      </w:r>
    </w:p>
    <w:p>
      <w:pPr>
        <w:pStyle w:val="14"/>
        <w:numPr>
          <w:ilvl w:val="0"/>
          <w:numId w:val="1"/>
        </w:numPr>
        <w:spacing w:before="156" w:beforeLines="50" w:line="360" w:lineRule="auto"/>
        <w:ind w:left="442" w:hanging="442" w:firstLineChars="0"/>
        <w:outlineLvl w:val="1"/>
        <w:rPr>
          <w:rFonts w:hint="eastAsia" w:ascii="宋体" w:hAnsi="宋体"/>
          <w:b/>
          <w:sz w:val="28"/>
          <w:szCs w:val="28"/>
          <w:lang w:val="zh-CN"/>
        </w:rPr>
      </w:pPr>
      <w:r>
        <w:rPr>
          <w:rFonts w:ascii="宋体" w:hAnsi="宋体"/>
          <w:b/>
          <w:sz w:val="28"/>
          <w:szCs w:val="28"/>
          <w:lang w:val="zh-CN"/>
        </w:rPr>
        <w:t>定标原则</w:t>
      </w:r>
    </w:p>
    <w:p>
      <w:pPr>
        <w:spacing w:line="560" w:lineRule="exact"/>
        <w:rPr>
          <w:rFonts w:hint="eastAsia" w:ascii="宋体" w:hAnsi="宋体"/>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Pr>
          <w:rFonts w:ascii="宋体" w:hAnsi="宋体"/>
          <w:b/>
          <w:color w:val="FF0000"/>
          <w:sz w:val="28"/>
          <w:szCs w:val="28"/>
          <w:u w:val="single"/>
        </w:rPr>
        <w:t>1-2</w:t>
      </w:r>
      <w:r>
        <w:rPr>
          <w:rFonts w:ascii="宋体" w:hAnsi="宋体"/>
          <w:b/>
          <w:sz w:val="28"/>
          <w:szCs w:val="28"/>
          <w:u w:val="single"/>
          <w:lang w:val="zh-CN"/>
        </w:rPr>
        <w:t xml:space="preserve"> </w:t>
      </w:r>
      <w:r>
        <w:rPr>
          <w:rFonts w:ascii="宋体" w:hAnsi="宋体"/>
          <w:b/>
          <w:sz w:val="28"/>
          <w:szCs w:val="28"/>
          <w:lang w:val="zh-CN"/>
        </w:rPr>
        <w:t>个</w:t>
      </w:r>
      <w:r>
        <w:rPr>
          <w:rFonts w:hint="eastAsia" w:ascii="宋体" w:hAnsi="宋体"/>
          <w:b/>
          <w:sz w:val="28"/>
          <w:szCs w:val="28"/>
          <w:lang w:val="zh-CN"/>
        </w:rPr>
        <w:t>，分别为第一中标人，第二中标人（备选中标人）</w:t>
      </w:r>
      <w:r>
        <w:rPr>
          <w:rFonts w:ascii="宋体" w:hAnsi="宋体"/>
          <w:b/>
          <w:sz w:val="28"/>
          <w:szCs w:val="28"/>
          <w:lang w:val="zh-CN"/>
        </w:rPr>
        <w:t>。</w:t>
      </w:r>
    </w:p>
    <w:p>
      <w:pPr>
        <w:pStyle w:val="14"/>
        <w:numPr>
          <w:ilvl w:val="1"/>
          <w:numId w:val="2"/>
        </w:numPr>
        <w:spacing w:line="440" w:lineRule="exact"/>
        <w:ind w:left="0" w:firstLine="480"/>
      </w:pPr>
      <w:r>
        <w:rPr>
          <w:rFonts w:hint="eastAsia"/>
        </w:rPr>
        <w:t>招标方根据评标报告向需求公司提报评标评审结果以及招标应用方案，经需求公司审批后确定最终中标人。定标的最终解释权和自主权归属为招标方需求公司。</w:t>
      </w:r>
    </w:p>
    <w:p>
      <w:pPr>
        <w:pStyle w:val="14"/>
        <w:numPr>
          <w:ilvl w:val="1"/>
          <w:numId w:val="2"/>
        </w:numPr>
        <w:spacing w:line="440" w:lineRule="exact"/>
        <w:ind w:left="0" w:firstLine="480"/>
      </w:pPr>
      <w:r>
        <w:rPr>
          <w:rFonts w:hint="eastAsia"/>
        </w:rPr>
        <w:t>如有必要，招标方可自主决定到中标候选人处进行现场确认，根据招标文件要求进行实地评审和确认，投标方应予以配合；对存在投标方实际情况与所投标文件不一致的情况，招标方有权中止招标程序及中标人相应合同，执行启用备选中标人或重新招标。</w:t>
      </w:r>
    </w:p>
    <w:p>
      <w:pPr>
        <w:pStyle w:val="14"/>
        <w:numPr>
          <w:ilvl w:val="1"/>
          <w:numId w:val="2"/>
        </w:numPr>
        <w:spacing w:line="440" w:lineRule="exact"/>
        <w:ind w:left="0" w:firstLine="480"/>
      </w:pPr>
      <w:r>
        <w:rPr>
          <w:rFonts w:hint="eastAsia" w:hAnsi="宋体"/>
        </w:rPr>
        <w:t>在中标人无法通过现场审核或无法正常签订及履行合同的情况下，采购人有权依照中标候选人名单排序顺延其他中标候选人作为中标人或者重新组织招标</w:t>
      </w:r>
      <w:r>
        <w:rPr>
          <w:rFonts w:hint="eastAsia" w:ascii="宋体" w:hAnsi="宋体" w:cs="宋体"/>
        </w:rPr>
        <w:t>。</w:t>
      </w:r>
    </w:p>
    <w:p>
      <w:pPr>
        <w:spacing w:line="440" w:lineRule="exact"/>
        <w:ind w:firstLine="482" w:firstLineChars="200"/>
        <w:rPr>
          <w:b/>
          <w:bCs/>
          <w:sz w:val="24"/>
          <w:szCs w:val="24"/>
        </w:rPr>
      </w:pPr>
      <w:r>
        <w:rPr>
          <w:b/>
          <w:bCs/>
          <w:sz w:val="24"/>
          <w:szCs w:val="24"/>
        </w:rPr>
        <w:t>投标人参与本项目的投标，即视为同意上述</w:t>
      </w:r>
      <w:r>
        <w:rPr>
          <w:rFonts w:hint="eastAsia"/>
          <w:b/>
          <w:bCs/>
          <w:sz w:val="24"/>
          <w:szCs w:val="24"/>
        </w:rPr>
        <w:t>定标方式。</w:t>
      </w:r>
    </w:p>
    <w:p>
      <w:pPr>
        <w:pStyle w:val="14"/>
        <w:numPr>
          <w:ilvl w:val="0"/>
          <w:numId w:val="1"/>
        </w:numPr>
        <w:spacing w:line="360" w:lineRule="auto"/>
        <w:ind w:left="442" w:hanging="442" w:firstLineChars="0"/>
        <w:outlineLvl w:val="1"/>
        <w:rPr>
          <w:rFonts w:hint="eastAsia" w:ascii="宋体" w:hAnsi="宋体"/>
          <w:b/>
          <w:sz w:val="28"/>
          <w:szCs w:val="28"/>
          <w:lang w:val="zh-CN"/>
        </w:rPr>
      </w:pPr>
      <w:r>
        <w:rPr>
          <w:rFonts w:hint="eastAsia" w:ascii="宋体" w:hAnsi="宋体"/>
          <w:b/>
          <w:sz w:val="28"/>
          <w:szCs w:val="28"/>
          <w:lang w:val="zh-CN"/>
        </w:rPr>
        <w:t>评审相关及追责</w:t>
      </w:r>
    </w:p>
    <w:p>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评审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招标中心可对评审专家的评审数据进行校对、核对，对明显不合实际的畸高、畸低的重大差异评分，可以要求相应的评审专家进行书面说明理由，并提请招标中心复核及采购决策专委会审批，必要时申请原评审小组进行重新评审。</w:t>
      </w:r>
    </w:p>
    <w:p>
      <w:pPr>
        <w:pStyle w:val="14"/>
        <w:numPr>
          <w:ilvl w:val="0"/>
          <w:numId w:val="4"/>
        </w:numPr>
        <w:spacing w:line="440" w:lineRule="exact"/>
        <w:ind w:left="0"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标后履约管理由招标需求部门或相应采购部门负责；针对中标供应商的技术T、质量Q、供应D、售后服务S方面，相应责任部门应建立起有效的合同履行和评价体系，进行有效监管。</w:t>
      </w:r>
    </w:p>
    <w:p>
      <w:pPr>
        <w:pStyle w:val="14"/>
        <w:spacing w:line="440" w:lineRule="exact"/>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①若为中标人存在弄虚作假、隐瞒欺骗，造成严重的资质、技术、产品质量性能、交付供应、售后服务及其他承诺不履行等问题，将严格追究中标人的责任和造成损失的赔偿；</w:t>
      </w:r>
    </w:p>
    <w:p>
      <w:pPr>
        <w:pStyle w:val="14"/>
        <w:spacing w:line="440" w:lineRule="exact"/>
        <w:ind w:firstLine="48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②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pPr>
        <w:pStyle w:val="14"/>
        <w:numPr>
          <w:ilvl w:val="0"/>
          <w:numId w:val="4"/>
        </w:numPr>
        <w:spacing w:line="440" w:lineRule="exact"/>
        <w:ind w:left="0" w:firstLine="480"/>
        <w:rPr>
          <w:rFonts w:hint="eastAsia" w:ascii="宋体" w:hAnsi="宋体"/>
          <w:sz w:val="24"/>
          <w:szCs w:val="24"/>
        </w:rPr>
        <w:sectPr>
          <w:pgSz w:w="11906" w:h="16838"/>
          <w:pgMar w:top="1134" w:right="851" w:bottom="1134" w:left="1134" w:header="851" w:footer="992" w:gutter="0"/>
          <w:cols w:space="425" w:num="1"/>
          <w:docGrid w:type="lines" w:linePitch="312" w:charSpace="0"/>
        </w:sectPr>
      </w:pPr>
      <w:r>
        <w:rPr>
          <w:rFonts w:hint="eastAsia" w:ascii="宋体" w:hAnsi="宋体"/>
          <w:color w:val="000000" w:themeColor="text1"/>
          <w14:textFill>
            <w14:solidFill>
              <w14:schemeClr w14:val="tx1"/>
            </w14:solidFill>
          </w14:textFill>
        </w:rPr>
        <w:t>招标中心可组织对评审小组评标专家的履职情况进行评价，作为年度评标专家考核的依据，视阶段履职考核进行评审活动的劳务报酬、奖励分配及评审资格延续。</w:t>
      </w:r>
      <w:bookmarkStart w:id="24" w:name="_GoBack"/>
      <w:bookmarkEnd w:id="24"/>
    </w:p>
    <w:p>
      <w:pPr>
        <w:wordWrap w:val="0"/>
        <w:spacing w:line="360" w:lineRule="auto"/>
        <w:outlineLvl w:val="1"/>
        <w:rPr>
          <w:rFonts w:hint="eastAsia" w:ascii="宋体" w:hAnsi="宋体"/>
          <w:b/>
          <w:bCs/>
          <w:sz w:val="24"/>
          <w:szCs w:val="24"/>
        </w:rPr>
      </w:pPr>
      <w:r>
        <w:rPr>
          <w:rFonts w:hint="eastAsia" w:ascii="宋体" w:hAnsi="宋体"/>
          <w:b/>
          <w:bCs/>
          <w:sz w:val="24"/>
          <w:szCs w:val="24"/>
        </w:rPr>
        <w:t>表一：供应商能力审核评审项目/评分标准</w:t>
      </w:r>
    </w:p>
    <w:tbl>
      <w:tblPr>
        <w:tblStyle w:val="13"/>
        <w:tblW w:w="14244" w:type="dxa"/>
        <w:tblInd w:w="113" w:type="dxa"/>
        <w:tblLayout w:type="fixed"/>
        <w:tblCellMar>
          <w:top w:w="0" w:type="dxa"/>
          <w:left w:w="108" w:type="dxa"/>
          <w:bottom w:w="0" w:type="dxa"/>
          <w:right w:w="108" w:type="dxa"/>
        </w:tblCellMar>
      </w:tblPr>
      <w:tblGrid>
        <w:gridCol w:w="442"/>
        <w:gridCol w:w="1149"/>
        <w:gridCol w:w="2291"/>
        <w:gridCol w:w="903"/>
        <w:gridCol w:w="9459"/>
      </w:tblGrid>
      <w:tr>
        <w:tblPrEx>
          <w:tblLayout w:type="fixed"/>
          <w:tblCellMar>
            <w:top w:w="0" w:type="dxa"/>
            <w:left w:w="108" w:type="dxa"/>
            <w:bottom w:w="0" w:type="dxa"/>
            <w:right w:w="108" w:type="dxa"/>
          </w:tblCellMar>
        </w:tblPrEx>
        <w:trPr>
          <w:trHeight w:val="20" w:hRule="atLeast"/>
        </w:trPr>
        <w:tc>
          <w:tcPr>
            <w:tcW w:w="442"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bookmarkStart w:id="11" w:name="_Hlk216164135"/>
            <w:r>
              <w:rPr>
                <w:rFonts w:hint="eastAsia" w:ascii="宋体" w:hAnsi="宋体" w:cs="宋体"/>
                <w:b/>
                <w:bCs/>
                <w:color w:val="000000"/>
                <w:kern w:val="0"/>
                <w:sz w:val="18"/>
                <w:szCs w:val="18"/>
              </w:rPr>
              <w:t>序</w:t>
            </w:r>
          </w:p>
        </w:tc>
        <w:tc>
          <w:tcPr>
            <w:tcW w:w="1149" w:type="dxa"/>
            <w:tcBorders>
              <w:top w:val="single" w:color="auto" w:sz="4" w:space="0"/>
              <w:left w:val="single" w:color="auto" w:sz="4" w:space="0"/>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2291" w:type="dxa"/>
            <w:tcBorders>
              <w:top w:val="single" w:color="auto" w:sz="4" w:space="0"/>
              <w:left w:val="nil"/>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903" w:type="dxa"/>
            <w:tcBorders>
              <w:top w:val="single" w:color="auto" w:sz="4" w:space="0"/>
              <w:left w:val="nil"/>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必选★/可选▲</w:t>
            </w:r>
          </w:p>
        </w:tc>
        <w:tc>
          <w:tcPr>
            <w:tcW w:w="9459" w:type="dxa"/>
            <w:tcBorders>
              <w:top w:val="single" w:color="auto" w:sz="4" w:space="0"/>
              <w:left w:val="nil"/>
              <w:bottom w:val="single" w:color="auto" w:sz="4" w:space="0"/>
              <w:right w:val="single" w:color="auto" w:sz="4" w:space="0"/>
            </w:tcBorders>
            <w:shd w:val="clear" w:color="auto" w:fill="D9D9D9"/>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资料提供说明</w:t>
            </w:r>
            <w:r>
              <w:rPr>
                <w:rFonts w:hint="eastAsia" w:ascii="宋体" w:hAnsi="宋体" w:cs="宋体"/>
                <w:b/>
                <w:bCs/>
                <w:color w:val="FF0000"/>
                <w:kern w:val="0"/>
                <w:sz w:val="18"/>
                <w:szCs w:val="18"/>
              </w:rPr>
              <w:t>（面向供应商）</w:t>
            </w:r>
          </w:p>
        </w:tc>
      </w:tr>
      <w:tr>
        <w:tblPrEx>
          <w:tblLayout w:type="fixed"/>
          <w:tblCellMar>
            <w:top w:w="0" w:type="dxa"/>
            <w:left w:w="108" w:type="dxa"/>
            <w:bottom w:w="0" w:type="dxa"/>
            <w:right w:w="108" w:type="dxa"/>
          </w:tblCellMar>
        </w:tblPrEx>
        <w:trPr>
          <w:trHeight w:val="20" w:hRule="atLeast"/>
        </w:trPr>
        <w:tc>
          <w:tcPr>
            <w:tcW w:w="442" w:type="dxa"/>
            <w:vMerge w:val="restart"/>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1</w:t>
            </w:r>
          </w:p>
        </w:tc>
        <w:tc>
          <w:tcPr>
            <w:tcW w:w="1149" w:type="dxa"/>
            <w:vMerge w:val="restart"/>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技术T</w:t>
            </w:r>
          </w:p>
        </w:tc>
        <w:tc>
          <w:tcPr>
            <w:tcW w:w="2291" w:type="dxa"/>
            <w:tcBorders>
              <w:top w:val="single" w:color="auto" w:sz="4" w:space="0"/>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color w:val="000000"/>
                <w:kern w:val="0"/>
                <w:sz w:val="18"/>
                <w:szCs w:val="18"/>
                <w:lang w:val="en-US" w:eastAsia="zh-CN" w:bidi="ar-SA"/>
              </w:rPr>
            </w:pPr>
            <w:r>
              <w:rPr>
                <w:rFonts w:hint="eastAsia" w:ascii="宋体" w:hAnsi="宋体" w:cs="宋体"/>
                <w:b/>
                <w:bCs/>
                <w:color w:val="000000"/>
                <w:kern w:val="0"/>
                <w:sz w:val="18"/>
                <w:szCs w:val="18"/>
              </w:rPr>
              <w:t>开发能力</w:t>
            </w:r>
          </w:p>
        </w:tc>
        <w:tc>
          <w:tcPr>
            <w:tcW w:w="903" w:type="dxa"/>
            <w:tcBorders>
              <w:top w:val="single" w:color="auto" w:sz="4" w:space="0"/>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single" w:color="auto" w:sz="4" w:space="0"/>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1、提供针对拟投标项目相应的开发能力说明及介绍</w:t>
            </w:r>
            <w:r>
              <w:rPr>
                <w:rFonts w:hint="eastAsia" w:ascii="宋体" w:hAnsi="宋体" w:cs="宋体"/>
                <w:b/>
                <w:bCs/>
                <w:color w:val="0000FF"/>
                <w:kern w:val="0"/>
                <w:sz w:val="18"/>
                <w:szCs w:val="18"/>
              </w:rPr>
              <w:t>【如独立开发&amp;联合开发&amp;委托设计开发等】</w:t>
            </w:r>
            <w:r>
              <w:rPr>
                <w:rFonts w:hint="eastAsia" w:ascii="宋体" w:hAnsi="宋体" w:cs="宋体"/>
                <w:b/>
                <w:bCs/>
                <w:color w:val="000000"/>
                <w:kern w:val="0"/>
                <w:sz w:val="18"/>
                <w:szCs w:val="18"/>
              </w:rPr>
              <w:t>；</w:t>
            </w:r>
          </w:p>
          <w:p>
            <w:pPr>
              <w:widowControl/>
              <w:wordWrap w:val="0"/>
              <w:spacing w:line="240" w:lineRule="exact"/>
              <w:jc w:val="left"/>
              <w:rPr>
                <w:rFonts w:hint="default"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2、开发或配套技术主要涉及的软、硬件及相关配套设备介绍；</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FF0000"/>
                <w:kern w:val="0"/>
                <w:sz w:val="18"/>
                <w:szCs w:val="18"/>
              </w:rPr>
              <w:t>感知系统能力水平（技术需求符合性评分）-1</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对技术需求文件中《附录A 技术要求符合性响应表》</w:t>
            </w:r>
            <w:r>
              <w:rPr>
                <w:rFonts w:hint="eastAsia" w:ascii="宋体" w:hAnsi="宋体" w:cs="宋体"/>
                <w:b/>
                <w:bCs/>
                <w:color w:val="auto"/>
                <w:kern w:val="0"/>
                <w:sz w:val="18"/>
                <w:szCs w:val="18"/>
                <w:lang w:eastAsia="zh-CN"/>
              </w:rPr>
              <w:t>，</w:t>
            </w:r>
            <w:r>
              <w:rPr>
                <w:rFonts w:hint="eastAsia" w:ascii="宋体" w:hAnsi="宋体" w:cs="宋体"/>
                <w:b/>
                <w:bCs/>
                <w:color w:val="auto"/>
                <w:kern w:val="0"/>
                <w:sz w:val="18"/>
                <w:szCs w:val="18"/>
                <w:lang w:val="en-US" w:eastAsia="zh-CN"/>
              </w:rPr>
              <w:t>厂家需真实评估自身目前已达到的水平并进行评估打分其中，完全满足条目内容得2分，部分满足条目内容得1分，不满足条目内容得0分</w:t>
            </w:r>
            <w:r>
              <w:rPr>
                <w:rFonts w:hint="eastAsia" w:ascii="宋体" w:hAnsi="宋体" w:cs="宋体"/>
                <w:b/>
                <w:bCs/>
                <w:color w:val="auto"/>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感知系统能力水平（技术需求符合性评分）-2</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auto"/>
                <w:kern w:val="0"/>
                <w:sz w:val="18"/>
                <w:szCs w:val="18"/>
              </w:rPr>
              <w:t>对技术需求文件中《附录</w:t>
            </w:r>
            <w:r>
              <w:rPr>
                <w:rFonts w:hint="eastAsia" w:ascii="宋体" w:hAnsi="宋体" w:cs="宋体"/>
                <w:b/>
                <w:bCs/>
                <w:color w:val="auto"/>
                <w:kern w:val="0"/>
                <w:sz w:val="18"/>
                <w:szCs w:val="18"/>
                <w:lang w:val="en-US" w:eastAsia="zh-CN"/>
              </w:rPr>
              <w:t xml:space="preserve">C </w:t>
            </w:r>
            <w:r>
              <w:rPr>
                <w:rFonts w:hint="eastAsia" w:ascii="宋体" w:hAnsi="宋体" w:cs="宋体"/>
                <w:b/>
                <w:bCs/>
                <w:color w:val="auto"/>
                <w:kern w:val="0"/>
                <w:sz w:val="18"/>
                <w:szCs w:val="18"/>
              </w:rPr>
              <w:t>感知性能指标要求响应表》</w:t>
            </w:r>
            <w:r>
              <w:rPr>
                <w:rFonts w:hint="eastAsia" w:ascii="宋体" w:hAnsi="宋体" w:cs="宋体"/>
                <w:b/>
                <w:bCs/>
                <w:color w:val="auto"/>
                <w:kern w:val="0"/>
                <w:sz w:val="18"/>
                <w:szCs w:val="18"/>
                <w:lang w:eastAsia="zh-CN"/>
              </w:rPr>
              <w:t>，</w:t>
            </w:r>
            <w:r>
              <w:rPr>
                <w:rFonts w:hint="eastAsia" w:ascii="宋体" w:hAnsi="宋体" w:cs="宋体"/>
                <w:b/>
                <w:bCs/>
                <w:color w:val="auto"/>
                <w:kern w:val="0"/>
                <w:sz w:val="18"/>
                <w:szCs w:val="18"/>
                <w:lang w:val="en-US" w:eastAsia="zh-CN"/>
              </w:rPr>
              <w:t>厂家需真实评估自身目前已达到的水平并进行评估，若满足则对项目打勾</w:t>
            </w:r>
            <w:r>
              <w:rPr>
                <w:rFonts w:hint="eastAsia" w:ascii="宋体" w:hAnsi="宋体" w:cs="宋体"/>
                <w:b/>
                <w:bCs/>
                <w:color w:val="auto"/>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功能安全体系构建水平</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bookmarkStart w:id="12" w:name="OLE_LINK2"/>
            <w:r>
              <w:rPr>
                <w:rFonts w:hint="eastAsia" w:ascii="宋体" w:hAnsi="宋体" w:cs="宋体"/>
                <w:b/>
                <w:bCs/>
                <w:color w:val="0000FF"/>
                <w:kern w:val="0"/>
                <w:sz w:val="18"/>
                <w:szCs w:val="18"/>
                <w:lang w:val="en-US" w:eastAsia="zh-CN"/>
              </w:rPr>
              <w:t>需提供在有效期内的ISO 26262功能安全体系认证证书，同时，证书上应具备认证机构二维码等防伪标识用于防伪查询，且证书所载明的认证范围（或认证注册范围）包含招标标的物所属类目。</w:t>
            </w:r>
            <w:bookmarkEnd w:id="12"/>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技术管理部门组织架构及人员专业性</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1、提供负责拟供产品的技术部门组织架构、岗位&amp;职责&amp;分工说明（注明相关技术管理人数、资质等各项情况）；</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2、拟投标项目的负责技术团队核心成员信息</w:t>
            </w:r>
            <w:r>
              <w:rPr>
                <w:rFonts w:hint="eastAsia" w:ascii="宋体" w:hAnsi="宋体" w:cs="宋体"/>
                <w:b/>
                <w:bCs/>
                <w:color w:val="0000FF"/>
                <w:kern w:val="0"/>
                <w:sz w:val="18"/>
                <w:szCs w:val="18"/>
              </w:rPr>
              <w:t>【包含但不限于姓名、性别、职位、相关专业、相关专业年限、职称证明、相关项目等】</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技术开发/配套过程组织管理</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提供技术开发/配套过程管理范例</w:t>
            </w:r>
            <w:r>
              <w:rPr>
                <w:rFonts w:hint="eastAsia" w:ascii="宋体" w:hAnsi="宋体" w:cs="宋体"/>
                <w:b/>
                <w:bCs/>
                <w:color w:val="0000FF"/>
                <w:kern w:val="0"/>
                <w:sz w:val="18"/>
                <w:szCs w:val="18"/>
              </w:rPr>
              <w:t>（响应拟投标项目技术开发/配套的技术要求）：</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1、拟定开发/配套过程</w:t>
            </w:r>
            <w:r>
              <w:rPr>
                <w:rFonts w:hint="eastAsia" w:ascii="宋体" w:hAnsi="宋体" w:cs="宋体"/>
                <w:b/>
                <w:bCs/>
                <w:color w:val="0000FF"/>
                <w:kern w:val="0"/>
                <w:sz w:val="18"/>
                <w:szCs w:val="18"/>
              </w:rPr>
              <w:t>【包含但不限于技术总协议、开发总体周期及各主要关键节点工作内容&amp;周期&amp;方案】</w:t>
            </w:r>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2、产品设计开发&amp;制作程序方案</w:t>
            </w:r>
            <w:r>
              <w:rPr>
                <w:rFonts w:hint="eastAsia" w:ascii="宋体" w:hAnsi="宋体" w:cs="宋体"/>
                <w:b/>
                <w:bCs/>
                <w:color w:val="0000FF"/>
                <w:kern w:val="0"/>
                <w:sz w:val="18"/>
                <w:szCs w:val="18"/>
              </w:rPr>
              <w:t>【程序明确规定各关键节点的接收及确认审批方案流程，包括但不仅限于新产品、新设计、新工艺等，对于顾客要求的更改等】</w:t>
            </w:r>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3、工程设计&amp;样件变更管理方案</w:t>
            </w:r>
            <w:r>
              <w:rPr>
                <w:rFonts w:hint="eastAsia" w:ascii="宋体" w:hAnsi="宋体" w:cs="宋体"/>
                <w:b/>
                <w:bCs/>
                <w:color w:val="0000FF"/>
                <w:kern w:val="0"/>
                <w:sz w:val="18"/>
                <w:szCs w:val="18"/>
              </w:rPr>
              <w:t>【包括但不仅限于对零件图纸和技术规范更新流程，明确相关部门的职责，建立能迅速将规格变更传达给相关部门的组织及流程等】</w:t>
            </w:r>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4、图纸、各类技术文件或样件的阶段输出及管理</w:t>
            </w:r>
            <w:r>
              <w:rPr>
                <w:rFonts w:hint="eastAsia" w:ascii="宋体" w:hAnsi="宋体" w:cs="宋体"/>
                <w:b/>
                <w:bCs/>
                <w:color w:val="0000FF"/>
                <w:kern w:val="0"/>
                <w:sz w:val="18"/>
                <w:szCs w:val="18"/>
              </w:rPr>
              <w:t>【如二维图&amp;三维模型-含详细尺寸、产品规格、材质、技术参数、性能曲线，技术&amp;工艺规范、阶段性样件或产品等】</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eastAsia="zh-CN"/>
              </w:rPr>
              <w:t xml:space="preserve"> </w:t>
            </w: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生产（设计实现）工艺流程</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提供相应的生产（设计实现）工艺【如流程图、工艺介绍、关键节点、关键工艺管控和关键设备清单】</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技术改进</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1、积极配合及响应需求技术部门的新技术开发、新状态变更、优化改进，联合试制试验的承诺函；</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2、及时提供行业先进技术，联合开发推广的承诺函；</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3、</w:t>
            </w:r>
            <w:r>
              <w:rPr>
                <w:rFonts w:hint="eastAsia" w:ascii="宋体" w:hAnsi="宋体" w:cs="宋体"/>
                <w:b/>
                <w:bCs/>
                <w:color w:val="FF0000"/>
                <w:kern w:val="0"/>
                <w:sz w:val="18"/>
                <w:szCs w:val="18"/>
              </w:rPr>
              <w:t>近3年（2023 -2025年度）</w:t>
            </w:r>
            <w:r>
              <w:rPr>
                <w:rFonts w:hint="eastAsia" w:ascii="宋体" w:hAnsi="宋体" w:cs="宋体"/>
                <w:b/>
                <w:bCs/>
                <w:color w:val="000000"/>
                <w:kern w:val="0"/>
                <w:sz w:val="18"/>
                <w:szCs w:val="18"/>
              </w:rPr>
              <w:t>技术/服务改进&amp;创新投入支出情况年度列表-公司盖章；</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技术加分项-</w:t>
            </w:r>
          </w:p>
          <w:p>
            <w:pPr>
              <w:widowControl/>
              <w:wordWrap w:val="0"/>
              <w:spacing w:line="240" w:lineRule="exact"/>
              <w:jc w:val="center"/>
              <w:rPr>
                <w:rFonts w:hint="eastAsia" w:ascii="宋体" w:hAnsi="宋体" w:eastAsia="宋体" w:cs="宋体"/>
                <w:b/>
                <w:bCs/>
                <w:color w:val="000000"/>
                <w:kern w:val="0"/>
                <w:sz w:val="18"/>
                <w:szCs w:val="18"/>
                <w:highlight w:val="yellow"/>
                <w:lang w:val="en-US" w:eastAsia="zh-CN" w:bidi="ar-SA"/>
              </w:rPr>
            </w:pPr>
            <w:r>
              <w:rPr>
                <w:rFonts w:hint="eastAsia" w:ascii="宋体" w:hAnsi="宋体" w:cs="宋体"/>
                <w:b/>
                <w:bCs/>
                <w:color w:val="000000"/>
                <w:kern w:val="0"/>
                <w:sz w:val="18"/>
                <w:szCs w:val="18"/>
              </w:rPr>
              <w:t>（技术企业核心竞争力及知识产权能力）</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highlight w:val="yellow"/>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1、与项目相关的发明专利、实用新型专利、外观专利等；</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2、相应行业、国家规范起草者等技术创新&amp;知识产权能力证明材料等；</w:t>
            </w:r>
          </w:p>
        </w:tc>
      </w:tr>
      <w:tr>
        <w:tblPrEx>
          <w:tblLayout w:type="fixed"/>
          <w:tblCellMar>
            <w:top w:w="0" w:type="dxa"/>
            <w:left w:w="108" w:type="dxa"/>
            <w:bottom w:w="0" w:type="dxa"/>
            <w:right w:w="108" w:type="dxa"/>
          </w:tblCellMar>
        </w:tblPrEx>
        <w:trPr>
          <w:trHeight w:val="20" w:hRule="atLeast"/>
        </w:trPr>
        <w:tc>
          <w:tcPr>
            <w:tcW w:w="442"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2</w:t>
            </w:r>
          </w:p>
        </w:tc>
        <w:tc>
          <w:tcPr>
            <w:tcW w:w="1149"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品质Q</w:t>
            </w: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品质保证体系及执行</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1、★提供相应质量管理体系证书（若为质量体系证书取得承诺，取得时间不得超出投标期1年后），</w:t>
            </w:r>
            <w:r>
              <w:rPr>
                <w:rFonts w:hint="eastAsia" w:ascii="宋体" w:hAnsi="宋体" w:cs="宋体"/>
                <w:b/>
                <w:bCs/>
                <w:color w:val="0000FF"/>
                <w:kern w:val="0"/>
                <w:sz w:val="18"/>
                <w:szCs w:val="18"/>
              </w:rPr>
              <w:t>【不限于IATF16949,ISO9001等，当为重要关键件必须提供IATF16949】</w:t>
            </w:r>
            <w:r>
              <w:rPr>
                <w:rFonts w:hint="eastAsia" w:ascii="宋体" w:hAnsi="宋体" w:cs="宋体"/>
                <w:b/>
                <w:bCs/>
                <w:color w:val="000000"/>
                <w:kern w:val="0"/>
                <w:sz w:val="18"/>
                <w:szCs w:val="18"/>
              </w:rPr>
              <w:t>；必要时3C等认证需提供证书；</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2、最近一次质量管理体系证书审核的评审情况</w:t>
            </w:r>
            <w:r>
              <w:rPr>
                <w:rFonts w:hint="eastAsia" w:ascii="宋体" w:hAnsi="宋体" w:cs="宋体"/>
                <w:b/>
                <w:bCs/>
                <w:color w:val="0000FF"/>
                <w:kern w:val="0"/>
                <w:sz w:val="18"/>
                <w:szCs w:val="18"/>
              </w:rPr>
              <w:t>【包含但不限于不合格项、整改项及整改措施内容】；</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3、拟供相关产品通过的相关产品安全及合格性认证资料，请列举及提供</w:t>
            </w:r>
            <w:r>
              <w:rPr>
                <w:rFonts w:hint="eastAsia" w:ascii="宋体" w:hAnsi="宋体" w:cs="宋体"/>
                <w:b/>
                <w:bCs/>
                <w:color w:val="0000FF"/>
                <w:kern w:val="0"/>
                <w:sz w:val="18"/>
                <w:szCs w:val="18"/>
              </w:rPr>
              <w:t>【如3C、CE、e-Mark、CQC、UL、GCC、RoHS等】；</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品质管理部门组织架构及人员专业性</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1、提供负责拟供产品的质量部门组织架构、岗位&amp;职责&amp;分工说明（注明相关质量管理人数、资质等各项情况）；</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2、拟投标项目的负责质量团队核心成员信息</w:t>
            </w:r>
            <w:r>
              <w:rPr>
                <w:rFonts w:hint="eastAsia" w:ascii="宋体" w:hAnsi="宋体" w:cs="宋体"/>
                <w:b/>
                <w:bCs/>
                <w:color w:val="0000FF"/>
                <w:kern w:val="0"/>
                <w:sz w:val="18"/>
                <w:szCs w:val="18"/>
              </w:rPr>
              <w:t>【包含但不限于姓名、性别、职位、相关专业、相关专业年限、职称证明、相关项目等】；</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3、进料检验、过程检验、成品检验、品质改进、品质体系等模块体系建设及执行介绍；</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产品品质目标</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1、产品品质目标：承诺拟供产品保修期内的故障率&amp;PPM（将作为后续质量目标考核指标）；</w:t>
            </w:r>
          </w:p>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FF"/>
                <w:kern w:val="0"/>
                <w:sz w:val="18"/>
                <w:szCs w:val="18"/>
              </w:rPr>
              <w:t>2、根据相关产品在</w:t>
            </w:r>
            <w:r>
              <w:rPr>
                <w:rFonts w:ascii="宋体" w:hAnsi="宋体" w:cs="宋体"/>
                <w:b/>
                <w:bCs/>
                <w:color w:val="0000FF"/>
                <w:kern w:val="0"/>
                <w:sz w:val="18"/>
                <w:szCs w:val="18"/>
              </w:rPr>
              <w:t>客车&amp;</w:t>
            </w:r>
            <w:r>
              <w:rPr>
                <w:rFonts w:hint="eastAsia" w:ascii="宋体" w:hAnsi="宋体" w:cs="宋体"/>
                <w:b/>
                <w:bCs/>
                <w:color w:val="0000FF"/>
                <w:kern w:val="0"/>
                <w:sz w:val="18"/>
                <w:szCs w:val="18"/>
              </w:rPr>
              <w:t>商用车&amp;乘用车厂商配套交货质量情况（可能的话提供相关产品质量数据）；</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产品开发质量水平及一致性质量水平</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pStyle w:val="28"/>
              <w:widowControl/>
              <w:numPr>
                <w:ilvl w:val="1"/>
                <w:numId w:val="1"/>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提供招标标的件或同类件的开发先期质量策划方案APQP</w:t>
            </w:r>
            <w:r>
              <w:rPr>
                <w:rFonts w:hint="eastAsia" w:ascii="宋体" w:hAnsi="宋体" w:eastAsia="宋体" w:cs="宋体"/>
                <w:b/>
                <w:bCs/>
                <w:color w:val="0000FF"/>
                <w:kern w:val="0"/>
                <w:sz w:val="18"/>
                <w:szCs w:val="18"/>
              </w:rPr>
              <w:t>【如尺寸、功能、外观、原材料、加工方法及关键参数控制】</w:t>
            </w:r>
            <w:r>
              <w:rPr>
                <w:rFonts w:hint="eastAsia" w:ascii="宋体" w:hAnsi="宋体" w:eastAsia="宋体" w:cs="宋体"/>
                <w:b/>
                <w:bCs/>
                <w:color w:val="000000"/>
                <w:kern w:val="0"/>
                <w:sz w:val="18"/>
                <w:szCs w:val="18"/>
              </w:rPr>
              <w:t>；</w:t>
            </w:r>
          </w:p>
          <w:p>
            <w:pPr>
              <w:pStyle w:val="28"/>
              <w:widowControl/>
              <w:numPr>
                <w:ilvl w:val="1"/>
                <w:numId w:val="1"/>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提供招标标的件或同类件的性能参数测试方案；</w:t>
            </w:r>
          </w:p>
          <w:p>
            <w:pPr>
              <w:pStyle w:val="14"/>
              <w:widowControl/>
              <w:numPr>
                <w:ilvl w:val="1"/>
                <w:numId w:val="1"/>
              </w:numPr>
              <w:wordWrap w:val="0"/>
              <w:spacing w:line="240" w:lineRule="exact"/>
              <w:ind w:left="0" w:leftChars="0" w:firstLine="0" w:firstLineChars="0"/>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针对关键件重要件提供产品可追溯性管控系统说明，并保证能与我司的产品追溯系统对接；</w:t>
            </w:r>
          </w:p>
        </w:tc>
      </w:tr>
      <w:tr>
        <w:tblPrEx>
          <w:tblLayout w:type="fixed"/>
          <w:tblCellMar>
            <w:top w:w="0" w:type="dxa"/>
            <w:left w:w="108" w:type="dxa"/>
            <w:bottom w:w="0" w:type="dxa"/>
            <w:right w:w="108" w:type="dxa"/>
          </w:tblCellMar>
        </w:tblPrEx>
        <w:trPr>
          <w:trHeight w:val="1275"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产品检测</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pStyle w:val="28"/>
              <w:widowControl/>
              <w:numPr>
                <w:ilvl w:val="0"/>
                <w:numId w:val="5"/>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提供招标标的件或同类件的第三方检测报告</w:t>
            </w:r>
            <w:r>
              <w:rPr>
                <w:rFonts w:hint="eastAsia" w:ascii="宋体" w:hAnsi="宋体" w:eastAsia="宋体" w:cs="宋体"/>
                <w:b/>
                <w:bCs/>
                <w:color w:val="0000FF"/>
                <w:kern w:val="0"/>
                <w:sz w:val="18"/>
                <w:szCs w:val="18"/>
              </w:rPr>
              <w:t>（有效期在近3年内或产品检测报告承诺函）</w:t>
            </w:r>
            <w:r>
              <w:rPr>
                <w:rFonts w:hint="eastAsia" w:ascii="宋体" w:hAnsi="宋体" w:eastAsia="宋体" w:cs="宋体"/>
                <w:b/>
                <w:bCs/>
                <w:color w:val="000000"/>
                <w:kern w:val="0"/>
                <w:sz w:val="18"/>
                <w:szCs w:val="18"/>
              </w:rPr>
              <w:t>，其中包含相关的重要结构、功能、型式试验项目</w:t>
            </w:r>
            <w:r>
              <w:rPr>
                <w:rFonts w:hint="eastAsia" w:ascii="宋体" w:hAnsi="宋体" w:eastAsia="宋体" w:cs="宋体"/>
                <w:b/>
                <w:bCs/>
                <w:color w:val="FF0000"/>
                <w:kern w:val="0"/>
                <w:sz w:val="18"/>
                <w:szCs w:val="18"/>
              </w:rPr>
              <w:t>【如包含但不限于XXXXXXXXXX检测项目】；</w:t>
            </w:r>
          </w:p>
          <w:p>
            <w:pPr>
              <w:pStyle w:val="28"/>
              <w:widowControl/>
              <w:numPr>
                <w:ilvl w:val="0"/>
                <w:numId w:val="5"/>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提供招标标的件或同类件的产品性能年度试验计划；产品的试验实施是由</w:t>
            </w:r>
            <w:r>
              <w:rPr>
                <w:rFonts w:hint="eastAsia" w:ascii="宋体" w:hAnsi="宋体" w:eastAsia="宋体" w:cs="宋体"/>
                <w:b/>
                <w:bCs/>
                <w:color w:val="0000FF"/>
                <w:kern w:val="0"/>
                <w:sz w:val="18"/>
                <w:szCs w:val="18"/>
              </w:rPr>
              <w:t>自建实验室？/委外实验机构（长期/随机）？</w:t>
            </w:r>
            <w:r>
              <w:rPr>
                <w:rFonts w:hint="eastAsia" w:ascii="宋体" w:hAnsi="宋体" w:eastAsia="宋体" w:cs="宋体"/>
                <w:b/>
                <w:bCs/>
                <w:color w:val="000000"/>
                <w:kern w:val="0"/>
                <w:sz w:val="18"/>
                <w:szCs w:val="18"/>
              </w:rPr>
              <w:t>实施的说明, 并附检测实验室资质证明；</w:t>
            </w:r>
          </w:p>
          <w:p>
            <w:pPr>
              <w:pStyle w:val="14"/>
              <w:widowControl/>
              <w:numPr>
                <w:ilvl w:val="0"/>
                <w:numId w:val="5"/>
              </w:numPr>
              <w:wordWrap w:val="0"/>
              <w:spacing w:line="240" w:lineRule="exact"/>
              <w:ind w:left="0" w:leftChars="0" w:firstLine="0" w:firstLineChars="0"/>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提供招标标的件或同类件的关键特性清单及相应的检测设备、检测手段、检测方法（SPC\MSA）；</w:t>
            </w:r>
          </w:p>
        </w:tc>
      </w:tr>
      <w:tr>
        <w:tblPrEx>
          <w:tblLayout w:type="fixed"/>
          <w:tblCellMar>
            <w:top w:w="0" w:type="dxa"/>
            <w:left w:w="108" w:type="dxa"/>
            <w:bottom w:w="0" w:type="dxa"/>
            <w:right w:w="108" w:type="dxa"/>
          </w:tblCellMar>
        </w:tblPrEx>
        <w:trPr>
          <w:trHeight w:val="1275"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储</w:t>
            </w:r>
            <w:r>
              <w:rPr>
                <w:rFonts w:hint="eastAsia" w:ascii="宋体" w:hAnsi="宋体" w:cs="宋体"/>
                <w:b/>
                <w:bCs/>
                <w:color w:val="000000"/>
                <w:kern w:val="0"/>
                <w:sz w:val="18"/>
                <w:szCs w:val="18"/>
                <w:lang w:val="en-US" w:eastAsia="zh-CN"/>
              </w:rPr>
              <w:t>存</w:t>
            </w:r>
            <w:r>
              <w:rPr>
                <w:rFonts w:hint="eastAsia" w:ascii="宋体" w:hAnsi="宋体" w:cs="宋体"/>
                <w:b/>
                <w:bCs/>
                <w:color w:val="000000"/>
                <w:kern w:val="0"/>
                <w:sz w:val="18"/>
                <w:szCs w:val="18"/>
              </w:rPr>
              <w:t>运输</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提供</w:t>
            </w:r>
            <w:r>
              <w:rPr>
                <w:rFonts w:hint="eastAsia" w:ascii="宋体" w:hAnsi="宋体" w:cs="宋体"/>
                <w:b/>
                <w:bCs/>
                <w:color w:val="000000"/>
                <w:kern w:val="0"/>
                <w:sz w:val="18"/>
                <w:szCs w:val="18"/>
                <w:lang w:val="en-US" w:eastAsia="zh-CN"/>
              </w:rPr>
              <w:t>储存、</w:t>
            </w:r>
            <w:r>
              <w:rPr>
                <w:rFonts w:hint="eastAsia" w:ascii="宋体" w:hAnsi="宋体" w:cs="宋体"/>
                <w:b/>
                <w:bCs/>
                <w:color w:val="000000"/>
                <w:kern w:val="0"/>
                <w:sz w:val="18"/>
                <w:szCs w:val="18"/>
              </w:rPr>
              <w:t>包装运输规范说明</w:t>
            </w:r>
          </w:p>
        </w:tc>
      </w:tr>
      <w:tr>
        <w:tblPrEx>
          <w:tblLayout w:type="fixed"/>
          <w:tblCellMar>
            <w:top w:w="0" w:type="dxa"/>
            <w:left w:w="108" w:type="dxa"/>
            <w:bottom w:w="0" w:type="dxa"/>
            <w:right w:w="108" w:type="dxa"/>
          </w:tblCellMar>
        </w:tblPrEx>
        <w:trPr>
          <w:trHeight w:val="1275"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品质考核承诺</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★提供标书合同附件的《供应商质量质保协议》-盖章</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品质改善</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pStyle w:val="28"/>
              <w:widowControl/>
              <w:numPr>
                <w:ilvl w:val="0"/>
                <w:numId w:val="6"/>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提供相关供货产品的品质改善管理方案或流程范例</w:t>
            </w:r>
            <w:r>
              <w:rPr>
                <w:rFonts w:hint="eastAsia" w:ascii="宋体" w:hAnsi="宋体" w:eastAsia="宋体" w:cs="宋体"/>
                <w:b/>
                <w:bCs/>
                <w:color w:val="0000FF"/>
                <w:kern w:val="0"/>
                <w:sz w:val="18"/>
                <w:szCs w:val="18"/>
              </w:rPr>
              <w:t>【如环境、方法、设备、人员、测量、材料、设计等】</w:t>
            </w:r>
            <w:r>
              <w:rPr>
                <w:rFonts w:hint="eastAsia" w:ascii="宋体" w:hAnsi="宋体" w:eastAsia="宋体" w:cs="宋体"/>
                <w:b/>
                <w:bCs/>
                <w:color w:val="000000"/>
                <w:kern w:val="0"/>
                <w:sz w:val="18"/>
                <w:szCs w:val="18"/>
              </w:rPr>
              <w:t>或提供拟招标标的件或同类件的质量整改8D报告</w:t>
            </w:r>
            <w:r>
              <w:rPr>
                <w:rFonts w:hint="eastAsia" w:ascii="宋体" w:hAnsi="宋体" w:eastAsia="宋体" w:cs="宋体"/>
                <w:b/>
                <w:bCs/>
                <w:color w:val="FF0000"/>
                <w:kern w:val="0"/>
                <w:sz w:val="18"/>
                <w:szCs w:val="18"/>
              </w:rPr>
              <w:t>1</w:t>
            </w:r>
            <w:r>
              <w:rPr>
                <w:rFonts w:hint="eastAsia" w:ascii="宋体" w:hAnsi="宋体" w:eastAsia="宋体" w:cs="宋体"/>
                <w:b/>
                <w:bCs/>
                <w:color w:val="000000"/>
                <w:kern w:val="0"/>
                <w:sz w:val="18"/>
                <w:szCs w:val="18"/>
              </w:rPr>
              <w:t>份；</w:t>
            </w:r>
          </w:p>
          <w:p>
            <w:pPr>
              <w:pStyle w:val="28"/>
              <w:widowControl/>
              <w:numPr>
                <w:ilvl w:val="0"/>
                <w:numId w:val="6"/>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快速响应主机厂的质量反馈的机制及模式介绍</w:t>
            </w:r>
            <w:r>
              <w:rPr>
                <w:rFonts w:hint="eastAsia" w:ascii="宋体" w:hAnsi="宋体" w:eastAsia="宋体" w:cs="宋体"/>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p>
          <w:p>
            <w:pPr>
              <w:pStyle w:val="14"/>
              <w:widowControl/>
              <w:numPr>
                <w:ilvl w:val="0"/>
                <w:numId w:val="6"/>
              </w:numPr>
              <w:wordWrap w:val="0"/>
              <w:spacing w:line="240" w:lineRule="exact"/>
              <w:ind w:left="0" w:leftChars="0" w:firstLine="0" w:firstLineChars="0"/>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配合品管部门在产品质量异常时做改善响应及品质工程监察的承诺函；</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其它品质项加分项-</w:t>
            </w:r>
          </w:p>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品质获奖项</w:t>
            </w:r>
          </w:p>
        </w:tc>
        <w:tc>
          <w:tcPr>
            <w:tcW w:w="903" w:type="dxa"/>
            <w:tcBorders>
              <w:top w:val="nil"/>
              <w:left w:val="nil"/>
              <w:bottom w:val="single" w:color="auto" w:sz="4" w:space="0"/>
              <w:right w:val="single" w:color="auto" w:sz="4" w:space="0"/>
            </w:tcBorders>
            <w:shd w:val="clear" w:color="auto" w:fill="auto"/>
            <w:vAlign w:val="center"/>
          </w:tcPr>
          <w:p>
            <w:pPr>
              <w:widowControl/>
              <w:wordWrap w:val="0"/>
              <w:spacing w:line="240" w:lineRule="exact"/>
              <w:jc w:val="center"/>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shd w:val="clear" w:color="auto" w:fill="auto"/>
            <w:vAlign w:val="center"/>
          </w:tcPr>
          <w:p>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近三年获主流客车厂/商用车厂优秀供应商/质量奖等类似奖项等；</w:t>
            </w:r>
          </w:p>
          <w:p>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近三年获得国家/省/市质量奖等；</w:t>
            </w:r>
          </w:p>
          <w:p>
            <w:pPr>
              <w:pStyle w:val="28"/>
              <w:widowControl/>
              <w:numPr>
                <w:ilvl w:val="0"/>
                <w:numId w:val="7"/>
              </w:numPr>
              <w:wordWrap w:val="0"/>
              <w:spacing w:line="240" w:lineRule="exact"/>
              <w:ind w:left="0" w:firstLine="0" w:firstLineChars="0"/>
              <w:jc w:val="left"/>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采用QMS软件对企业进行质量管理等；</w:t>
            </w:r>
          </w:p>
          <w:p>
            <w:pPr>
              <w:pStyle w:val="14"/>
              <w:widowControl/>
              <w:numPr>
                <w:ilvl w:val="0"/>
                <w:numId w:val="7"/>
              </w:numPr>
              <w:wordWrap w:val="0"/>
              <w:spacing w:line="240" w:lineRule="exact"/>
              <w:ind w:left="0" w:leftChars="0" w:firstLine="0" w:firstLineChars="0"/>
              <w:jc w:val="left"/>
              <w:rPr>
                <w:rFonts w:hint="eastAsia" w:ascii="宋体" w:hAnsi="宋体" w:eastAsia="宋体" w:cs="宋体"/>
                <w:b/>
                <w:bCs/>
                <w:color w:val="000000"/>
                <w:kern w:val="0"/>
                <w:sz w:val="18"/>
                <w:szCs w:val="18"/>
                <w:lang w:val="en-US" w:eastAsia="zh-CN" w:bidi="ar-SA"/>
              </w:rPr>
            </w:pPr>
            <w:r>
              <w:rPr>
                <w:rFonts w:hint="eastAsia" w:ascii="宋体" w:hAnsi="宋体" w:cs="宋体"/>
                <w:b/>
                <w:bCs/>
                <w:color w:val="000000"/>
                <w:kern w:val="0"/>
                <w:sz w:val="18"/>
                <w:szCs w:val="18"/>
              </w:rPr>
              <w:t>通过其他体系认证【如ESG、信息安全、环境、职业健康、绿色供应链等】；</w:t>
            </w:r>
          </w:p>
        </w:tc>
      </w:tr>
      <w:tr>
        <w:tblPrEx>
          <w:tblLayout w:type="fixed"/>
          <w:tblCellMar>
            <w:top w:w="0" w:type="dxa"/>
            <w:left w:w="108" w:type="dxa"/>
            <w:bottom w:w="0" w:type="dxa"/>
            <w:right w:w="108" w:type="dxa"/>
          </w:tblCellMar>
        </w:tblPrEx>
        <w:trPr>
          <w:trHeight w:val="20" w:hRule="atLeast"/>
        </w:trPr>
        <w:tc>
          <w:tcPr>
            <w:tcW w:w="442"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3</w:t>
            </w:r>
          </w:p>
        </w:tc>
        <w:tc>
          <w:tcPr>
            <w:tcW w:w="1149"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供应D</w:t>
            </w: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供应配套半径</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实际生产场地</w:t>
            </w:r>
            <w:r>
              <w:rPr>
                <w:rFonts w:hint="eastAsia" w:ascii="宋体" w:hAnsi="宋体" w:cs="宋体"/>
                <w:b/>
                <w:bCs/>
                <w:kern w:val="0"/>
                <w:sz w:val="18"/>
                <w:szCs w:val="18"/>
              </w:rPr>
              <w:t>或</w:t>
            </w:r>
            <w:r>
              <w:rPr>
                <w:rFonts w:hint="eastAsia" w:ascii="宋体" w:hAnsi="宋体" w:cs="宋体"/>
                <w:b/>
                <w:bCs/>
                <w:color w:val="0000FF"/>
                <w:kern w:val="0"/>
                <w:sz w:val="18"/>
                <w:szCs w:val="18"/>
              </w:rPr>
              <w:t>仓库发货</w:t>
            </w:r>
            <w:r>
              <w:rPr>
                <w:rFonts w:hint="eastAsia" w:ascii="宋体" w:hAnsi="宋体" w:cs="宋体"/>
                <w:b/>
                <w:bCs/>
                <w:color w:val="000000"/>
                <w:kern w:val="0"/>
                <w:sz w:val="18"/>
                <w:szCs w:val="18"/>
              </w:rPr>
              <w:t>地距需求主机厂的距离，附地址地图或仓储合同；</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注明使用的常规物流运输方式</w:t>
            </w:r>
            <w:bookmarkStart w:id="13" w:name="OLE_LINK74"/>
            <w:r>
              <w:rPr>
                <w:rFonts w:hint="eastAsia" w:ascii="宋体" w:hAnsi="宋体" w:cs="宋体"/>
                <w:b/>
                <w:bCs/>
                <w:color w:val="0000FF"/>
                <w:kern w:val="0"/>
                <w:sz w:val="18"/>
                <w:szCs w:val="18"/>
              </w:rPr>
              <w:t>【如公路、铁路、水路、航空或JIT】</w:t>
            </w:r>
            <w:bookmarkEnd w:id="13"/>
            <w:r>
              <w:rPr>
                <w:rFonts w:hint="eastAsia" w:ascii="宋体" w:hAnsi="宋体" w:cs="宋体"/>
                <w:b/>
                <w:bCs/>
                <w:color w:val="0000FF"/>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供货结算模式</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w:t>
            </w:r>
            <w:bookmarkStart w:id="14" w:name="OLE_LINK65"/>
            <w:r>
              <w:rPr>
                <w:rFonts w:hint="eastAsia" w:ascii="宋体" w:hAnsi="宋体" w:cs="宋体"/>
                <w:b/>
                <w:bCs/>
                <w:color w:val="000000"/>
                <w:kern w:val="0"/>
                <w:sz w:val="18"/>
                <w:szCs w:val="18"/>
              </w:rPr>
              <w:t>提供</w:t>
            </w:r>
            <w:r>
              <w:rPr>
                <w:rFonts w:hint="eastAsia" w:ascii="宋体" w:hAnsi="宋体" w:cs="宋体"/>
                <w:b/>
                <w:bCs/>
                <w:color w:val="0000FF"/>
                <w:kern w:val="0"/>
                <w:sz w:val="18"/>
                <w:szCs w:val="18"/>
              </w:rPr>
              <w:t>直接生产模式供应或代理/经销供应</w:t>
            </w:r>
            <w:r>
              <w:rPr>
                <w:rFonts w:hint="eastAsia" w:ascii="宋体" w:hAnsi="宋体" w:cs="宋体"/>
                <w:b/>
                <w:bCs/>
                <w:color w:val="000000"/>
                <w:kern w:val="0"/>
                <w:sz w:val="18"/>
                <w:szCs w:val="18"/>
              </w:rPr>
              <w:t>模式。</w:t>
            </w:r>
            <w:bookmarkStart w:id="15" w:name="OLE_LINK75"/>
            <w:r>
              <w:rPr>
                <w:rFonts w:hint="eastAsia" w:ascii="宋体" w:hAnsi="宋体" w:cs="宋体"/>
                <w:b/>
                <w:bCs/>
                <w:color w:val="0000FF"/>
                <w:kern w:val="0"/>
                <w:sz w:val="18"/>
                <w:szCs w:val="18"/>
              </w:rPr>
              <w:t>（非直接生产模式请提供相应的授权代理/经销等证明；</w:t>
            </w:r>
            <w:r>
              <w:rPr>
                <w:rFonts w:ascii="宋体" w:hAnsi="宋体" w:cs="宋体"/>
                <w:b/>
                <w:bCs/>
                <w:color w:val="0000FF"/>
                <w:kern w:val="0"/>
                <w:sz w:val="18"/>
                <w:szCs w:val="18"/>
              </w:rPr>
              <w:t>直接生产模式需要提供其经营范围涵盖招标标的相关类目的制造或生产等证明或提供与投标主体一致的质量体系证书认证项目范畴包含招标标的相关类目</w:t>
            </w:r>
            <w:bookmarkEnd w:id="14"/>
            <w:r>
              <w:rPr>
                <w:rFonts w:hint="eastAsia" w:ascii="宋体" w:hAnsi="宋体" w:cs="宋体"/>
                <w:b/>
                <w:bCs/>
                <w:color w:val="0000FF"/>
                <w:kern w:val="0"/>
                <w:sz w:val="18"/>
                <w:szCs w:val="18"/>
              </w:rPr>
              <w:t>）</w:t>
            </w:r>
            <w:bookmarkEnd w:id="15"/>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2、提供能满足的供货结算模式</w:t>
            </w:r>
            <w:r>
              <w:rPr>
                <w:rFonts w:hint="eastAsia" w:ascii="宋体" w:hAnsi="宋体" w:cs="宋体"/>
                <w:b/>
                <w:bCs/>
                <w:color w:val="0000FF"/>
                <w:kern w:val="0"/>
                <w:sz w:val="18"/>
                <w:szCs w:val="18"/>
              </w:rPr>
              <w:t>【直接入库KWO/寄售VMI/直接上线JIT模式】</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供应交货期</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批量供货时自采购订单下达之日起</w:t>
            </w:r>
            <w:r>
              <w:rPr>
                <w:rFonts w:ascii="宋体" w:hAnsi="宋体" w:cs="宋体"/>
                <w:b/>
                <w:bCs/>
                <w:color w:val="FF0000"/>
                <w:kern w:val="0"/>
                <w:sz w:val="18"/>
                <w:szCs w:val="18"/>
              </w:rPr>
              <w:t>X</w:t>
            </w:r>
            <w:r>
              <w:rPr>
                <w:rFonts w:hint="eastAsia" w:ascii="宋体" w:hAnsi="宋体" w:cs="宋体"/>
                <w:b/>
                <w:bCs/>
                <w:color w:val="000000"/>
                <w:kern w:val="0"/>
                <w:sz w:val="18"/>
                <w:szCs w:val="18"/>
              </w:rPr>
              <w:t>日到货需求主机厂内（包含运输及休息日）的承诺函</w:t>
            </w:r>
            <w:r>
              <w:rPr>
                <w:rFonts w:hint="eastAsia" w:ascii="宋体" w:hAnsi="宋体" w:cs="宋体"/>
                <w:b/>
                <w:bCs/>
                <w:color w:val="0000FF"/>
                <w:kern w:val="0"/>
                <w:sz w:val="18"/>
                <w:szCs w:val="18"/>
              </w:rPr>
              <w:t>【如7日/10日/15日/30日</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供应数量交付率</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批量供货时按期供应需求到货数量与采购数量之比</w:t>
            </w:r>
            <w:r>
              <w:rPr>
                <w:rFonts w:hint="eastAsia" w:ascii="宋体" w:hAnsi="宋体" w:cs="宋体"/>
                <w:b/>
                <w:bCs/>
                <w:color w:val="0000FF"/>
                <w:kern w:val="0"/>
                <w:sz w:val="18"/>
                <w:szCs w:val="18"/>
              </w:rPr>
              <w:t>【如100%/95%以上/90%以上/90%以下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的承诺函；</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产能与持续供货能力</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根据预期采购量提供总成件及主要配套子件、散件的具体实际产能响应情况；</w:t>
            </w:r>
            <w:r>
              <w:rPr>
                <w:rFonts w:hint="eastAsia" w:ascii="宋体" w:hAnsi="宋体" w:cs="宋体"/>
                <w:b/>
                <w:bCs/>
                <w:color w:val="0000FF"/>
                <w:kern w:val="0"/>
                <w:sz w:val="18"/>
                <w:szCs w:val="18"/>
              </w:rPr>
              <w:t>拟定配套日产能</w:t>
            </w:r>
            <w:r>
              <w:rPr>
                <w:rFonts w:hint="eastAsia" w:ascii="宋体" w:hAnsi="宋体" w:cs="宋体"/>
                <w:b/>
                <w:bCs/>
                <w:color w:val="FF0000"/>
                <w:kern w:val="0"/>
                <w:sz w:val="18"/>
                <w:szCs w:val="18"/>
              </w:rPr>
              <w:t>X</w:t>
            </w:r>
            <w:r>
              <w:rPr>
                <w:rFonts w:hint="eastAsia" w:ascii="宋体" w:hAnsi="宋体" w:cs="宋体"/>
                <w:b/>
                <w:bCs/>
                <w:color w:val="0000FF"/>
                <w:kern w:val="0"/>
                <w:sz w:val="18"/>
                <w:szCs w:val="18"/>
              </w:rPr>
              <w:t>台套/日，（每台按</w:t>
            </w:r>
            <w:r>
              <w:rPr>
                <w:rFonts w:hint="eastAsia" w:ascii="宋体" w:hAnsi="宋体" w:cs="宋体"/>
                <w:b/>
                <w:bCs/>
                <w:color w:val="FF0000"/>
                <w:kern w:val="0"/>
                <w:sz w:val="18"/>
                <w:szCs w:val="18"/>
              </w:rPr>
              <w:t>X</w:t>
            </w:r>
            <w:r>
              <w:rPr>
                <w:rFonts w:hint="eastAsia" w:ascii="宋体" w:hAnsi="宋体" w:cs="宋体"/>
                <w:b/>
                <w:bCs/>
                <w:color w:val="0000FF"/>
                <w:kern w:val="0"/>
                <w:sz w:val="18"/>
                <w:szCs w:val="18"/>
              </w:rPr>
              <w:t>个计算）</w:t>
            </w:r>
            <w:bookmarkStart w:id="16" w:name="OLE_LINK76"/>
            <w:r>
              <w:rPr>
                <w:rFonts w:hint="eastAsia" w:ascii="宋体" w:hAnsi="宋体" w:cs="宋体"/>
                <w:b/>
                <w:bCs/>
                <w:color w:val="0000FF"/>
                <w:kern w:val="0"/>
                <w:sz w:val="18"/>
                <w:szCs w:val="18"/>
              </w:rPr>
              <w:t>【如日供货量30台套/50台套/100台套/150台套</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16"/>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交付保障考核</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★提供标书合同附件的《供应商交付保障协议》-盖章</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应急响应承诺</w:t>
            </w:r>
          </w:p>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（特殊需求下）</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提供特殊应急响应供应承诺函（正常采购周期的</w:t>
            </w:r>
            <w:r>
              <w:rPr>
                <w:rFonts w:hint="eastAsia" w:ascii="宋体" w:hAnsi="宋体" w:cs="宋体"/>
                <w:b/>
                <w:bCs/>
                <w:color w:val="0000FF"/>
                <w:kern w:val="0"/>
                <w:sz w:val="18"/>
                <w:szCs w:val="18"/>
              </w:rPr>
              <w:t>【如1/4、1/3、1/2</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到货）</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主流客车厂配套</w:t>
            </w:r>
          </w:p>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（需提供证明资料）</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1、提供主流客车厂/商用车/乘用车厂的近</w:t>
            </w:r>
            <w:r>
              <w:rPr>
                <w:rFonts w:hint="eastAsia" w:ascii="宋体" w:hAnsi="宋体" w:cs="宋体"/>
                <w:b/>
                <w:bCs/>
                <w:color w:val="FF0000"/>
                <w:kern w:val="0"/>
                <w:sz w:val="18"/>
                <w:szCs w:val="18"/>
              </w:rPr>
              <w:t>2</w:t>
            </w:r>
            <w:r>
              <w:rPr>
                <w:rFonts w:hint="eastAsia" w:ascii="宋体" w:hAnsi="宋体" w:cs="宋体"/>
                <w:b/>
                <w:bCs/>
                <w:color w:val="000000"/>
                <w:kern w:val="0"/>
                <w:sz w:val="18"/>
                <w:szCs w:val="18"/>
              </w:rPr>
              <w:t>年（</w:t>
            </w:r>
            <w:r>
              <w:rPr>
                <w:rFonts w:hint="eastAsia" w:ascii="宋体" w:hAnsi="宋体" w:cs="宋体"/>
                <w:b/>
                <w:bCs/>
                <w:color w:val="FF0000"/>
                <w:kern w:val="0"/>
                <w:sz w:val="18"/>
                <w:szCs w:val="18"/>
              </w:rPr>
              <w:t>20</w:t>
            </w:r>
            <w:r>
              <w:rPr>
                <w:rFonts w:hint="eastAsia" w:ascii="宋体" w:hAnsi="宋体" w:cs="宋体"/>
                <w:b/>
                <w:bCs/>
                <w:color w:val="FF0000"/>
                <w:kern w:val="0"/>
                <w:sz w:val="18"/>
                <w:szCs w:val="18"/>
                <w:lang w:val="en-US" w:eastAsia="zh-CN"/>
              </w:rPr>
              <w:t>24</w:t>
            </w:r>
            <w:r>
              <w:rPr>
                <w:rFonts w:hint="eastAsia" w:ascii="宋体" w:hAnsi="宋体" w:cs="宋体"/>
                <w:b/>
                <w:bCs/>
                <w:color w:val="FF0000"/>
                <w:kern w:val="0"/>
                <w:sz w:val="18"/>
                <w:szCs w:val="18"/>
              </w:rPr>
              <w:t>-20</w:t>
            </w:r>
            <w:r>
              <w:rPr>
                <w:rFonts w:hint="eastAsia" w:ascii="宋体" w:hAnsi="宋体" w:cs="宋体"/>
                <w:b/>
                <w:bCs/>
                <w:color w:val="FF0000"/>
                <w:kern w:val="0"/>
                <w:sz w:val="18"/>
                <w:szCs w:val="18"/>
                <w:lang w:val="en-US" w:eastAsia="zh-CN"/>
              </w:rPr>
              <w:t>25</w:t>
            </w:r>
            <w:r>
              <w:rPr>
                <w:rFonts w:hint="eastAsia" w:ascii="宋体" w:hAnsi="宋体" w:cs="宋体"/>
                <w:b/>
                <w:bCs/>
                <w:color w:val="FF0000"/>
                <w:kern w:val="0"/>
                <w:sz w:val="18"/>
                <w:szCs w:val="18"/>
              </w:rPr>
              <w:t>年度）</w:t>
            </w:r>
            <w:r>
              <w:rPr>
                <w:rFonts w:hint="eastAsia" w:ascii="宋体" w:hAnsi="宋体" w:cs="宋体"/>
                <w:b/>
                <w:bCs/>
                <w:color w:val="000000"/>
                <w:kern w:val="0"/>
                <w:sz w:val="18"/>
                <w:szCs w:val="18"/>
              </w:rPr>
              <w:t>的供货证明</w:t>
            </w:r>
            <w:r>
              <w:rPr>
                <w:rFonts w:hint="eastAsia" w:ascii="宋体" w:hAnsi="宋体" w:cs="宋体"/>
                <w:b/>
                <w:bCs/>
                <w:color w:val="FF0000"/>
                <w:kern w:val="0"/>
                <w:sz w:val="18"/>
                <w:szCs w:val="18"/>
              </w:rPr>
              <w:t>（与招标标的件同品类）</w:t>
            </w:r>
            <w:r>
              <w:rPr>
                <w:rFonts w:hint="eastAsia" w:ascii="宋体" w:hAnsi="宋体" w:cs="宋体"/>
                <w:b/>
                <w:bCs/>
                <w:color w:val="0000FF"/>
                <w:kern w:val="0"/>
                <w:sz w:val="18"/>
                <w:szCs w:val="18"/>
              </w:rPr>
              <w:t>【提供相应采购合同证明（必要时隐去敏感相关项）及年度结算凭证（包含但不限于</w:t>
            </w:r>
            <w:r>
              <w:rPr>
                <w:rFonts w:ascii="宋体" w:hAnsi="宋体" w:cs="宋体"/>
                <w:b/>
                <w:bCs/>
                <w:color w:val="0000FF"/>
                <w:kern w:val="0"/>
                <w:sz w:val="18"/>
                <w:szCs w:val="18"/>
              </w:rPr>
              <w:t>合同台账及对应的结算发票</w:t>
            </w:r>
            <w:r>
              <w:rPr>
                <w:rFonts w:hint="eastAsia" w:ascii="宋体" w:hAnsi="宋体" w:cs="宋体"/>
                <w:b/>
                <w:bCs/>
                <w:color w:val="0000FF"/>
                <w:kern w:val="0"/>
                <w:sz w:val="18"/>
                <w:szCs w:val="18"/>
              </w:rPr>
              <w:t>或</w:t>
            </w:r>
            <w:r>
              <w:rPr>
                <w:rFonts w:ascii="宋体" w:hAnsi="宋体" w:cs="宋体"/>
                <w:b/>
                <w:bCs/>
                <w:color w:val="0000FF"/>
                <w:kern w:val="0"/>
                <w:sz w:val="18"/>
                <w:szCs w:val="18"/>
              </w:rPr>
              <w:t>付款凭证</w:t>
            </w:r>
            <w:r>
              <w:rPr>
                <w:rFonts w:hint="eastAsia" w:ascii="宋体" w:hAnsi="宋体" w:cs="宋体"/>
                <w:b/>
                <w:bCs/>
                <w:color w:val="0000FF"/>
                <w:kern w:val="0"/>
                <w:sz w:val="18"/>
                <w:szCs w:val="18"/>
              </w:rPr>
              <w:t>或</w:t>
            </w:r>
            <w:r>
              <w:rPr>
                <w:rFonts w:ascii="宋体" w:hAnsi="宋体" w:cs="宋体"/>
                <w:b/>
                <w:bCs/>
                <w:color w:val="0000FF"/>
                <w:kern w:val="0"/>
                <w:sz w:val="18"/>
                <w:szCs w:val="18"/>
              </w:rPr>
              <w:t>银行转账记录等结算凭证</w:t>
            </w:r>
            <w:r>
              <w:rPr>
                <w:rFonts w:hint="eastAsia" w:ascii="宋体" w:hAnsi="宋体" w:cs="宋体"/>
                <w:b/>
                <w:bCs/>
                <w:color w:val="0000FF"/>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2、有三龙两通的供货经历优先提供；</w:t>
            </w:r>
          </w:p>
        </w:tc>
      </w:tr>
      <w:tr>
        <w:tblPrEx>
          <w:tblLayout w:type="fixed"/>
          <w:tblCellMar>
            <w:top w:w="0" w:type="dxa"/>
            <w:left w:w="108" w:type="dxa"/>
            <w:bottom w:w="0" w:type="dxa"/>
            <w:right w:w="108" w:type="dxa"/>
          </w:tblCellMar>
        </w:tblPrEx>
        <w:trPr>
          <w:trHeight w:val="20" w:hRule="atLeast"/>
        </w:trPr>
        <w:tc>
          <w:tcPr>
            <w:tcW w:w="442"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4</w:t>
            </w:r>
          </w:p>
        </w:tc>
        <w:tc>
          <w:tcPr>
            <w:tcW w:w="1149" w:type="dxa"/>
            <w:vMerge w:val="restart"/>
            <w:tcBorders>
              <w:top w:val="nil"/>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售后服务S</w:t>
            </w: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售后服务配套方式及半径</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1、使用的常规服务方式</w:t>
            </w:r>
            <w:bookmarkStart w:id="17" w:name="OLE_LINK78"/>
            <w:r>
              <w:rPr>
                <w:rFonts w:hint="eastAsia" w:ascii="宋体" w:hAnsi="宋体" w:cs="宋体"/>
                <w:b/>
                <w:bCs/>
                <w:color w:val="0000FF"/>
                <w:kern w:val="0"/>
                <w:sz w:val="18"/>
                <w:szCs w:val="18"/>
              </w:rPr>
              <w:t>【如驻点、委托主机厂、公路、铁路、水路、航空等】</w:t>
            </w:r>
            <w:bookmarkEnd w:id="17"/>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2、实际售后服务点或仓库发货地距需求主机厂的距离；</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售后服务网络建设&amp;人员&amp;硬件</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FF"/>
                <w:kern w:val="0"/>
                <w:sz w:val="18"/>
                <w:szCs w:val="18"/>
              </w:rPr>
            </w:pPr>
            <w:r>
              <w:rPr>
                <w:rFonts w:hint="eastAsia" w:ascii="宋体" w:hAnsi="宋体" w:cs="宋体"/>
                <w:b/>
                <w:bCs/>
                <w:color w:val="000000"/>
                <w:kern w:val="0"/>
                <w:sz w:val="18"/>
                <w:szCs w:val="18"/>
              </w:rPr>
              <w:t>1、提供售后服务场地&amp;库房面积</w:t>
            </w:r>
            <w:r>
              <w:rPr>
                <w:rFonts w:hint="eastAsia" w:ascii="宋体" w:hAnsi="宋体" w:cs="宋体"/>
                <w:b/>
                <w:bCs/>
                <w:color w:val="0000FF"/>
                <w:kern w:val="0"/>
                <w:sz w:val="18"/>
                <w:szCs w:val="18"/>
              </w:rPr>
              <w:t>（附现场照片及仓储&amp;售后服务点自有或租赁合同）；</w:t>
            </w:r>
          </w:p>
          <w:p>
            <w:pPr>
              <w:widowControl/>
              <w:wordWrap w:val="0"/>
              <w:spacing w:line="240" w:lineRule="exact"/>
              <w:jc w:val="left"/>
              <w:rPr>
                <w:rFonts w:hint="eastAsia" w:ascii="宋体" w:hAnsi="宋体" w:cs="宋体"/>
                <w:b/>
                <w:bCs/>
                <w:color w:val="000000"/>
                <w:kern w:val="0"/>
                <w:sz w:val="18"/>
                <w:szCs w:val="18"/>
              </w:rPr>
            </w:pPr>
            <w:r>
              <w:rPr>
                <w:rFonts w:ascii="宋体" w:hAnsi="宋体" w:cs="宋体"/>
                <w:b/>
                <w:bCs/>
                <w:color w:val="000000"/>
                <w:kern w:val="0"/>
                <w:sz w:val="18"/>
                <w:szCs w:val="18"/>
              </w:rPr>
              <w:t>2</w:t>
            </w:r>
            <w:r>
              <w:rPr>
                <w:rFonts w:hint="eastAsia" w:ascii="宋体" w:hAnsi="宋体" w:cs="宋体"/>
                <w:b/>
                <w:bCs/>
                <w:color w:val="000000"/>
                <w:kern w:val="0"/>
                <w:sz w:val="18"/>
                <w:szCs w:val="18"/>
              </w:rPr>
              <w:t>、售后人员配备情况</w:t>
            </w:r>
            <w:bookmarkStart w:id="18" w:name="OLE_LINK79"/>
            <w:r>
              <w:rPr>
                <w:rFonts w:hint="eastAsia" w:ascii="宋体" w:hAnsi="宋体" w:cs="宋体"/>
                <w:b/>
                <w:bCs/>
                <w:color w:val="0000FF"/>
                <w:kern w:val="0"/>
                <w:sz w:val="18"/>
                <w:szCs w:val="18"/>
              </w:rPr>
              <w:t>【包含但不限于姓名、性别、职位、相关专业、相关专业年限、职称证明等】</w:t>
            </w:r>
            <w:bookmarkEnd w:id="18"/>
            <w:r>
              <w:rPr>
                <w:rFonts w:hint="eastAsia" w:ascii="宋体" w:hAnsi="宋体" w:cs="宋体"/>
                <w:b/>
                <w:bCs/>
                <w:color w:val="0000FF"/>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3、硬件&amp;工具等配套清单</w:t>
            </w:r>
            <w:bookmarkStart w:id="19" w:name="OLE_LINK80"/>
            <w:r>
              <w:rPr>
                <w:rFonts w:hint="eastAsia" w:ascii="宋体" w:hAnsi="宋体" w:cs="宋体"/>
                <w:b/>
                <w:bCs/>
                <w:color w:val="0000FF"/>
                <w:kern w:val="0"/>
                <w:sz w:val="18"/>
                <w:szCs w:val="18"/>
              </w:rPr>
              <w:t>【包含但不限于名称、型号、数量等】</w:t>
            </w:r>
            <w:bookmarkEnd w:id="19"/>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售后配件交货期</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自售后服务订单下达之日起</w:t>
            </w:r>
            <w:r>
              <w:rPr>
                <w:rFonts w:ascii="宋体" w:hAnsi="宋体" w:cs="宋体"/>
                <w:b/>
                <w:bCs/>
                <w:color w:val="FF0000"/>
                <w:kern w:val="0"/>
                <w:sz w:val="18"/>
                <w:szCs w:val="18"/>
              </w:rPr>
              <w:t>X</w:t>
            </w:r>
            <w:r>
              <w:rPr>
                <w:rFonts w:hint="eastAsia" w:ascii="宋体" w:hAnsi="宋体" w:cs="宋体"/>
                <w:b/>
                <w:bCs/>
                <w:color w:val="000000"/>
                <w:kern w:val="0"/>
                <w:sz w:val="18"/>
                <w:szCs w:val="18"/>
              </w:rPr>
              <w:t>日到货需求主机厂内（包含运输及休息日）的承诺函</w:t>
            </w:r>
            <w:bookmarkStart w:id="20" w:name="OLE_LINK81"/>
            <w:r>
              <w:rPr>
                <w:rFonts w:hint="eastAsia" w:ascii="宋体" w:hAnsi="宋体" w:cs="宋体"/>
                <w:b/>
                <w:bCs/>
                <w:color w:val="0000FF"/>
                <w:kern w:val="0"/>
                <w:sz w:val="18"/>
                <w:szCs w:val="18"/>
              </w:rPr>
              <w:t>【如</w:t>
            </w:r>
            <w:r>
              <w:rPr>
                <w:rFonts w:ascii="宋体" w:hAnsi="宋体" w:cs="宋体"/>
                <w:b/>
                <w:bCs/>
                <w:color w:val="0000FF"/>
                <w:kern w:val="0"/>
                <w:sz w:val="18"/>
                <w:szCs w:val="18"/>
              </w:rPr>
              <w:t>2</w:t>
            </w:r>
            <w:r>
              <w:rPr>
                <w:rFonts w:hint="eastAsia" w:ascii="宋体" w:hAnsi="宋体" w:cs="宋体"/>
                <w:b/>
                <w:bCs/>
                <w:color w:val="0000FF"/>
                <w:kern w:val="0"/>
                <w:sz w:val="18"/>
                <w:szCs w:val="18"/>
              </w:rPr>
              <w:t>日/3日/5日/7日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0"/>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售后配件数量交付率/售后服务项目交付率</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按期到货售后配件数量/售后服务项目配件与售后采购需求数量之比</w:t>
            </w:r>
            <w:bookmarkStart w:id="21" w:name="OLE_LINK82"/>
            <w:r>
              <w:rPr>
                <w:rFonts w:hint="eastAsia" w:ascii="宋体" w:hAnsi="宋体" w:cs="宋体"/>
                <w:b/>
                <w:bCs/>
                <w:color w:val="0000FF"/>
                <w:kern w:val="0"/>
                <w:sz w:val="18"/>
                <w:szCs w:val="18"/>
              </w:rPr>
              <w:t>【如100%/95%以上/90%以上/90%以下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1"/>
            <w:r>
              <w:rPr>
                <w:rFonts w:hint="eastAsia" w:ascii="宋体" w:hAnsi="宋体" w:cs="宋体"/>
                <w:b/>
                <w:bCs/>
                <w:color w:val="000000"/>
                <w:kern w:val="0"/>
                <w:sz w:val="18"/>
                <w:szCs w:val="18"/>
              </w:rPr>
              <w:t>承诺函</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售后考核承诺</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★提供标书合同附件的《供应商售后服务协议》-盖章</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售后应急响应承诺</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（特殊需求下）</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1、提供特殊情况下应急响应售后服务承诺函（正常采购周期的</w:t>
            </w:r>
            <w:bookmarkStart w:id="22" w:name="OLE_LINK83"/>
            <w:r>
              <w:rPr>
                <w:rFonts w:hint="eastAsia" w:ascii="宋体" w:hAnsi="宋体" w:cs="宋体"/>
                <w:b/>
                <w:bCs/>
                <w:color w:val="0000FF"/>
                <w:kern w:val="0"/>
                <w:sz w:val="18"/>
                <w:szCs w:val="18"/>
              </w:rPr>
              <w:t>【1/3、1/2、1/2以下</w:t>
            </w:r>
            <w:r>
              <w:rPr>
                <w:rFonts w:ascii="宋体" w:hAnsi="宋体" w:cs="宋体"/>
                <w:b/>
                <w:bCs/>
                <w:color w:val="0000FF"/>
                <w:kern w:val="0"/>
                <w:sz w:val="18"/>
                <w:szCs w:val="18"/>
              </w:rPr>
              <w:t>……</w:t>
            </w:r>
            <w:r>
              <w:rPr>
                <w:rFonts w:hint="eastAsia" w:ascii="宋体" w:hAnsi="宋体" w:cs="宋体"/>
                <w:b/>
                <w:bCs/>
                <w:color w:val="0000FF"/>
                <w:kern w:val="0"/>
                <w:sz w:val="18"/>
                <w:szCs w:val="18"/>
              </w:rPr>
              <w:t>】</w:t>
            </w:r>
            <w:bookmarkEnd w:id="22"/>
            <w:r>
              <w:rPr>
                <w:rFonts w:hint="eastAsia" w:ascii="宋体" w:hAnsi="宋体" w:cs="宋体"/>
                <w:b/>
                <w:bCs/>
                <w:color w:val="000000"/>
                <w:kern w:val="0"/>
                <w:sz w:val="18"/>
                <w:szCs w:val="18"/>
              </w:rPr>
              <w:t>到货）；</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2、提供特殊应急情况下应急响应售后服务要求派技术售后人员赴市场一线指定地点处理售后问题的响应情况的承诺函</w:t>
            </w:r>
            <w:r>
              <w:rPr>
                <w:rFonts w:hint="eastAsia" w:ascii="宋体" w:hAnsi="宋体" w:cs="宋体"/>
                <w:b/>
                <w:bCs/>
                <w:color w:val="0000FF"/>
                <w:kern w:val="0"/>
                <w:sz w:val="18"/>
                <w:szCs w:val="18"/>
              </w:rPr>
              <w:t>【国内市场2日/3日/5日</w:t>
            </w:r>
            <w:r>
              <w:rPr>
                <w:rFonts w:ascii="宋体" w:hAnsi="宋体" w:cs="宋体"/>
                <w:b/>
                <w:bCs/>
                <w:color w:val="0000FF"/>
                <w:kern w:val="0"/>
                <w:sz w:val="18"/>
                <w:szCs w:val="18"/>
              </w:rPr>
              <w:t>……</w:t>
            </w:r>
            <w:r>
              <w:rPr>
                <w:rFonts w:hint="eastAsia" w:ascii="宋体" w:hAnsi="宋体" w:cs="宋体"/>
                <w:b/>
                <w:bCs/>
                <w:color w:val="0000FF"/>
                <w:kern w:val="0"/>
                <w:sz w:val="18"/>
                <w:szCs w:val="18"/>
              </w:rPr>
              <w:t>；海外市场3日/5日/7日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着手准备赴外】</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售后二次索赔处理及时率</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承诺积极配合进行售后二次索赔责任划分及签订相关确认书</w:t>
            </w:r>
            <w:r>
              <w:rPr>
                <w:rFonts w:hint="eastAsia" w:ascii="宋体" w:hAnsi="宋体" w:cs="宋体"/>
                <w:b/>
                <w:bCs/>
                <w:color w:val="0000FF"/>
                <w:kern w:val="0"/>
                <w:sz w:val="18"/>
                <w:szCs w:val="18"/>
              </w:rPr>
              <w:t>【如2个月/4个月/6个月内</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售后配件资料的提供</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零配件价格及资料（包含配件价格、图册、bom清单及培训资料）在</w:t>
            </w:r>
            <w:r>
              <w:rPr>
                <w:rFonts w:hint="eastAsia" w:ascii="宋体" w:hAnsi="宋体" w:cs="宋体"/>
                <w:b/>
                <w:bCs/>
                <w:color w:val="FF0000"/>
                <w:kern w:val="0"/>
                <w:sz w:val="18"/>
                <w:szCs w:val="18"/>
              </w:rPr>
              <w:t>X</w:t>
            </w:r>
            <w:r>
              <w:rPr>
                <w:rFonts w:hint="eastAsia" w:ascii="宋体" w:hAnsi="宋体" w:cs="宋体"/>
                <w:b/>
                <w:bCs/>
                <w:color w:val="000000"/>
                <w:kern w:val="0"/>
                <w:sz w:val="18"/>
                <w:szCs w:val="18"/>
              </w:rPr>
              <w:t>日内提供的承诺函</w:t>
            </w:r>
            <w:r>
              <w:rPr>
                <w:rFonts w:hint="eastAsia" w:ascii="宋体" w:hAnsi="宋体" w:cs="宋体"/>
                <w:b/>
                <w:bCs/>
                <w:color w:val="0000FF"/>
                <w:kern w:val="0"/>
                <w:sz w:val="18"/>
                <w:szCs w:val="18"/>
              </w:rPr>
              <w:t>【如3日/5日/7日</w:t>
            </w:r>
            <w:r>
              <w:rPr>
                <w:rFonts w:ascii="宋体" w:hAnsi="宋体" w:cs="宋体"/>
                <w:b/>
                <w:bCs/>
                <w:color w:val="0000FF"/>
                <w:kern w:val="0"/>
                <w:sz w:val="18"/>
                <w:szCs w:val="18"/>
              </w:rPr>
              <w:t>……</w:t>
            </w:r>
            <w:r>
              <w:rPr>
                <w:rFonts w:hint="eastAsia" w:ascii="宋体" w:hAnsi="宋体" w:cs="宋体"/>
                <w:b/>
                <w:bCs/>
                <w:color w:val="0000FF"/>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售后配件供应生命周期</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1、提供承诺售后配件供应生命周期的承诺函</w:t>
            </w:r>
            <w:r>
              <w:rPr>
                <w:rFonts w:hint="eastAsia" w:ascii="宋体" w:hAnsi="宋体" w:cs="宋体"/>
                <w:b/>
                <w:bCs/>
                <w:color w:val="0000FF"/>
                <w:kern w:val="0"/>
                <w:sz w:val="18"/>
                <w:szCs w:val="18"/>
              </w:rPr>
              <w:t>【如5年/10年/15年</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2、对于量产的停产车型，承诺满足配件供应年限的承诺函</w:t>
            </w:r>
            <w:r>
              <w:rPr>
                <w:rFonts w:hint="eastAsia" w:ascii="宋体" w:hAnsi="宋体" w:cs="宋体"/>
                <w:b/>
                <w:bCs/>
                <w:color w:val="0000FF"/>
                <w:kern w:val="0"/>
                <w:sz w:val="18"/>
                <w:szCs w:val="18"/>
              </w:rPr>
              <w:t>【如5年/</w:t>
            </w:r>
            <w:r>
              <w:rPr>
                <w:rFonts w:ascii="宋体" w:hAnsi="宋体" w:cs="宋体"/>
                <w:b/>
                <w:bCs/>
                <w:color w:val="0000FF"/>
                <w:kern w:val="0"/>
                <w:sz w:val="18"/>
                <w:szCs w:val="18"/>
              </w:rPr>
              <w:t>10</w:t>
            </w:r>
            <w:r>
              <w:rPr>
                <w:rFonts w:hint="eastAsia" w:ascii="宋体" w:hAnsi="宋体" w:cs="宋体"/>
                <w:b/>
                <w:bCs/>
                <w:color w:val="0000FF"/>
                <w:kern w:val="0"/>
                <w:sz w:val="18"/>
                <w:szCs w:val="18"/>
              </w:rPr>
              <w:t>年</w:t>
            </w:r>
            <w:r>
              <w:rPr>
                <w:rFonts w:ascii="宋体" w:hAnsi="宋体" w:cs="宋体"/>
                <w:b/>
                <w:bCs/>
                <w:color w:val="0000FF"/>
                <w:kern w:val="0"/>
                <w:sz w:val="18"/>
                <w:szCs w:val="18"/>
              </w:rPr>
              <w:t>……</w:t>
            </w:r>
            <w:r>
              <w:rPr>
                <w:rFonts w:hint="eastAsia" w:ascii="宋体" w:hAnsi="宋体" w:cs="宋体"/>
                <w:b/>
                <w:bCs/>
                <w:color w:val="0000FF"/>
                <w:kern w:val="0"/>
                <w:sz w:val="18"/>
                <w:szCs w:val="18"/>
              </w:rPr>
              <w:t>】</w:t>
            </w:r>
            <w:r>
              <w:rPr>
                <w:rFonts w:hint="eastAsia" w:ascii="宋体" w:hAnsi="宋体" w:cs="宋体"/>
                <w:b/>
                <w:bCs/>
                <w:color w:val="000000"/>
                <w:kern w:val="0"/>
                <w:sz w:val="18"/>
                <w:szCs w:val="18"/>
              </w:rPr>
              <w:t>；</w:t>
            </w:r>
          </w:p>
        </w:tc>
      </w:tr>
      <w:tr>
        <w:tblPrEx>
          <w:tblLayout w:type="fixed"/>
          <w:tblCellMar>
            <w:top w:w="0" w:type="dxa"/>
            <w:left w:w="108" w:type="dxa"/>
            <w:bottom w:w="0" w:type="dxa"/>
            <w:right w:w="108" w:type="dxa"/>
          </w:tblCellMar>
        </w:tblPrEx>
        <w:trPr>
          <w:trHeight w:val="20" w:hRule="atLeast"/>
        </w:trPr>
        <w:tc>
          <w:tcPr>
            <w:tcW w:w="442"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1149" w:type="dxa"/>
            <w:vMerge w:val="continue"/>
            <w:tcBorders>
              <w:top w:val="nil"/>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p>
        </w:tc>
        <w:tc>
          <w:tcPr>
            <w:tcW w:w="2291"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其他</w:t>
            </w:r>
          </w:p>
        </w:tc>
        <w:tc>
          <w:tcPr>
            <w:tcW w:w="903" w:type="dxa"/>
            <w:tcBorders>
              <w:top w:val="nil"/>
              <w:left w:val="nil"/>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w:t>
            </w:r>
          </w:p>
        </w:tc>
        <w:tc>
          <w:tcPr>
            <w:tcW w:w="9459" w:type="dxa"/>
            <w:tcBorders>
              <w:top w:val="nil"/>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1、承诺配件专卖及按“金龙专用”标识供应售后物料的承诺；</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2、承诺积极配合并在价格及运费方面给予支持；</w:t>
            </w:r>
          </w:p>
          <w:p>
            <w:pPr>
              <w:widowControl/>
              <w:wordWrap w:val="0"/>
              <w:spacing w:line="240" w:lineRule="exact"/>
              <w:jc w:val="left"/>
              <w:rPr>
                <w:rFonts w:hint="eastAsia" w:ascii="宋体" w:hAnsi="宋体" w:cs="宋体"/>
                <w:b/>
                <w:bCs/>
                <w:color w:val="000000"/>
                <w:kern w:val="0"/>
                <w:sz w:val="18"/>
                <w:szCs w:val="18"/>
              </w:rPr>
            </w:pPr>
            <w:r>
              <w:rPr>
                <w:rFonts w:ascii="宋体" w:hAnsi="宋体" w:cs="宋体"/>
                <w:b/>
                <w:bCs/>
                <w:color w:val="000000"/>
                <w:kern w:val="0"/>
                <w:sz w:val="18"/>
                <w:szCs w:val="18"/>
              </w:rPr>
              <w:t>3</w:t>
            </w:r>
            <w:r>
              <w:rPr>
                <w:rFonts w:hint="eastAsia" w:ascii="宋体" w:hAnsi="宋体" w:cs="宋体"/>
                <w:b/>
                <w:bCs/>
                <w:color w:val="000000"/>
                <w:kern w:val="0"/>
                <w:sz w:val="18"/>
                <w:szCs w:val="18"/>
              </w:rPr>
              <w:t>、对于售后配件，承诺价格为不高于价格体系最低价；</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4、对于当年采购的积压配件，承诺可以按当年采购价进行退、换货等；</w:t>
            </w:r>
          </w:p>
        </w:tc>
      </w:tr>
      <w:bookmarkEnd w:id="11"/>
    </w:tbl>
    <w:p>
      <w:pPr>
        <w:wordWrap w:val="0"/>
        <w:spacing w:line="360" w:lineRule="auto"/>
        <w:rPr>
          <w:rFonts w:hint="eastAsia" w:ascii="宋体" w:hAnsi="宋体"/>
          <w:b/>
          <w:bCs/>
          <w:sz w:val="24"/>
          <w:szCs w:val="24"/>
        </w:rPr>
      </w:pPr>
    </w:p>
    <w:p>
      <w:pPr>
        <w:widowControl/>
        <w:wordWrap w:val="0"/>
        <w:jc w:val="left"/>
        <w:outlineLvl w:val="1"/>
        <w:rPr>
          <w:rFonts w:hint="eastAsia" w:ascii="宋体" w:hAnsi="宋体"/>
          <w:b/>
          <w:bCs/>
          <w:sz w:val="24"/>
          <w:szCs w:val="24"/>
        </w:rPr>
        <w:sectPr>
          <w:pgSz w:w="16838" w:h="11906" w:orient="landscape"/>
          <w:pgMar w:top="1134" w:right="1134" w:bottom="851" w:left="1134" w:header="851" w:footer="992" w:gutter="0"/>
          <w:cols w:space="425" w:num="1"/>
          <w:docGrid w:type="lines" w:linePitch="312" w:charSpace="0"/>
        </w:sectPr>
      </w:pPr>
    </w:p>
    <w:p>
      <w:pPr>
        <w:widowControl/>
        <w:wordWrap w:val="0"/>
        <w:jc w:val="left"/>
        <w:outlineLvl w:val="1"/>
        <w:rPr>
          <w:rFonts w:hint="eastAsia" w:ascii="宋体" w:hAnsi="宋体"/>
          <w:b/>
          <w:bCs/>
          <w:sz w:val="24"/>
          <w:szCs w:val="24"/>
        </w:rPr>
      </w:pPr>
      <w:bookmarkStart w:id="23" w:name="OLE_LINK11"/>
      <w:r>
        <w:rPr>
          <w:rFonts w:hint="eastAsia" w:ascii="宋体" w:hAnsi="宋体"/>
          <w:b/>
          <w:bCs/>
          <w:sz w:val="24"/>
          <w:szCs w:val="24"/>
        </w:rPr>
        <w:t>表二：供应商商务价格评审项目/评分标准</w:t>
      </w:r>
    </w:p>
    <w:tbl>
      <w:tblPr>
        <w:tblStyle w:val="13"/>
        <w:tblW w:w="14358" w:type="dxa"/>
        <w:tblInd w:w="0" w:type="dxa"/>
        <w:tblLayout w:type="fixed"/>
        <w:tblCellMar>
          <w:top w:w="0" w:type="dxa"/>
          <w:left w:w="108" w:type="dxa"/>
          <w:bottom w:w="0" w:type="dxa"/>
          <w:right w:w="108" w:type="dxa"/>
        </w:tblCellMar>
      </w:tblPr>
      <w:tblGrid>
        <w:gridCol w:w="505"/>
        <w:gridCol w:w="1191"/>
        <w:gridCol w:w="2268"/>
        <w:gridCol w:w="993"/>
        <w:gridCol w:w="4961"/>
        <w:gridCol w:w="4440"/>
      </w:tblGrid>
      <w:tr>
        <w:tblPrEx>
          <w:tblLayout w:type="fixed"/>
          <w:tblCellMar>
            <w:top w:w="0" w:type="dxa"/>
            <w:left w:w="108" w:type="dxa"/>
            <w:bottom w:w="0" w:type="dxa"/>
            <w:right w:w="108" w:type="dxa"/>
          </w:tblCellMar>
        </w:tblPrEx>
        <w:trPr>
          <w:trHeight w:val="532" w:hRule="atLeast"/>
        </w:trPr>
        <w:tc>
          <w:tcPr>
            <w:tcW w:w="50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序</w:t>
            </w:r>
          </w:p>
        </w:tc>
        <w:tc>
          <w:tcPr>
            <w:tcW w:w="119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评审方向</w:t>
            </w:r>
          </w:p>
        </w:tc>
        <w:tc>
          <w:tcPr>
            <w:tcW w:w="2268"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评审内容</w:t>
            </w:r>
          </w:p>
        </w:tc>
        <w:tc>
          <w:tcPr>
            <w:tcW w:w="993"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必选★/可选▲</w:t>
            </w:r>
          </w:p>
        </w:tc>
        <w:tc>
          <w:tcPr>
            <w:tcW w:w="4961" w:type="dxa"/>
            <w:tcBorders>
              <w:top w:val="single" w:color="auto" w:sz="4" w:space="0"/>
              <w:left w:val="nil"/>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FF"/>
                <w:kern w:val="0"/>
                <w:sz w:val="18"/>
                <w:szCs w:val="18"/>
              </w:rPr>
            </w:pPr>
            <w:r>
              <w:rPr>
                <w:rFonts w:hint="eastAsia" w:ascii="宋体" w:hAnsi="宋体" w:cs="宋体"/>
                <w:b/>
                <w:bCs/>
                <w:color w:val="000000"/>
                <w:kern w:val="0"/>
                <w:sz w:val="18"/>
                <w:szCs w:val="18"/>
              </w:rPr>
              <w:t>评审标准</w:t>
            </w:r>
          </w:p>
        </w:tc>
        <w:tc>
          <w:tcPr>
            <w:tcW w:w="444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widowControl/>
              <w:wordWrap w:val="0"/>
              <w:spacing w:line="20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说明</w:t>
            </w:r>
          </w:p>
        </w:tc>
      </w:tr>
      <w:tr>
        <w:tblPrEx>
          <w:tblLayout w:type="fixed"/>
          <w:tblCellMar>
            <w:top w:w="0" w:type="dxa"/>
            <w:left w:w="108" w:type="dxa"/>
            <w:bottom w:w="0" w:type="dxa"/>
            <w:right w:w="108" w:type="dxa"/>
          </w:tblCellMar>
        </w:tblPrEx>
        <w:trPr>
          <w:trHeight w:val="978" w:hRule="atLeast"/>
        </w:trPr>
        <w:tc>
          <w:tcPr>
            <w:tcW w:w="505" w:type="dxa"/>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5</w:t>
            </w:r>
          </w:p>
        </w:tc>
        <w:tc>
          <w:tcPr>
            <w:tcW w:w="1191" w:type="dxa"/>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价格C</w:t>
            </w:r>
          </w:p>
        </w:tc>
        <w:tc>
          <w:tcPr>
            <w:tcW w:w="2268" w:type="dxa"/>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b/>
                <w:bCs/>
                <w:color w:val="000000"/>
                <w:kern w:val="0"/>
                <w:sz w:val="18"/>
                <w:szCs w:val="18"/>
              </w:rPr>
            </w:pPr>
            <w:r>
              <w:rPr>
                <w:rFonts w:hint="eastAsia" w:ascii="宋体" w:hAnsi="宋体" w:cs="宋体"/>
                <w:b/>
                <w:bCs/>
                <w:color w:val="000000"/>
                <w:kern w:val="0"/>
                <w:sz w:val="18"/>
                <w:szCs w:val="18"/>
              </w:rPr>
              <w:t>配套物料价格/提供设计&amp;服务价格</w:t>
            </w:r>
          </w:p>
        </w:tc>
        <w:tc>
          <w:tcPr>
            <w:tcW w:w="993" w:type="dxa"/>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center"/>
              <w:rPr>
                <w:rFonts w:hint="eastAsia" w:ascii="宋体" w:hAnsi="宋体" w:cs="宋体"/>
                <w:color w:val="000000"/>
                <w:kern w:val="0"/>
                <w:sz w:val="18"/>
                <w:szCs w:val="18"/>
              </w:rPr>
            </w:pPr>
            <w:r>
              <w:rPr>
                <w:rFonts w:hint="eastAsia" w:ascii="宋体" w:hAnsi="宋体" w:cs="宋体"/>
                <w:b/>
                <w:bCs/>
                <w:color w:val="000000"/>
                <w:kern w:val="0"/>
                <w:sz w:val="18"/>
                <w:szCs w:val="18"/>
              </w:rPr>
              <w:t>★</w:t>
            </w:r>
          </w:p>
        </w:tc>
        <w:tc>
          <w:tcPr>
            <w:tcW w:w="4961" w:type="dxa"/>
            <w:tcBorders>
              <w:top w:val="single" w:color="auto" w:sz="4" w:space="0"/>
              <w:left w:val="nil"/>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FF"/>
                <w:kern w:val="0"/>
                <w:sz w:val="18"/>
                <w:szCs w:val="18"/>
              </w:rPr>
            </w:pPr>
            <w:r>
              <w:rPr>
                <w:rFonts w:hint="eastAsia" w:ascii="宋体" w:hAnsi="宋体" w:cs="宋体"/>
                <w:b/>
                <w:bCs/>
                <w:color w:val="000000" w:themeColor="text1"/>
                <w:kern w:val="0"/>
                <w:sz w:val="18"/>
                <w:szCs w:val="18"/>
                <w14:textFill>
                  <w14:solidFill>
                    <w14:schemeClr w14:val="tx1"/>
                  </w14:solidFill>
                </w14:textFill>
              </w:rPr>
              <w:t>比值法：</w:t>
            </w:r>
            <w:r>
              <w:rPr>
                <w:rFonts w:hint="eastAsia" w:ascii="宋体" w:hAnsi="宋体" w:cs="宋体"/>
                <w:b/>
                <w:bCs/>
                <w:color w:val="0000FF"/>
                <w:kern w:val="0"/>
                <w:sz w:val="18"/>
                <w:szCs w:val="18"/>
              </w:rPr>
              <w:t>满足招标文件要求且投标价格最低的投标报价作为评标基准价，其价格分为满分；投标报价得分=（评标基准价/投标报价）*100</w:t>
            </w:r>
          </w:p>
        </w:tc>
        <w:tc>
          <w:tcPr>
            <w:tcW w:w="4440" w:type="dxa"/>
            <w:tcBorders>
              <w:top w:val="single" w:color="auto" w:sz="4" w:space="0"/>
              <w:left w:val="single" w:color="auto" w:sz="4" w:space="0"/>
              <w:bottom w:val="single" w:color="auto" w:sz="4" w:space="0"/>
              <w:right w:val="single" w:color="auto" w:sz="4" w:space="0"/>
            </w:tcBorders>
            <w:vAlign w:val="center"/>
          </w:tcPr>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投标报价一览表所涉及的项目总价（</w:t>
            </w:r>
            <w:r>
              <w:rPr>
                <w:rFonts w:hint="eastAsia" w:ascii="宋体" w:hAnsi="宋体" w:cs="宋体"/>
                <w:b/>
                <w:bCs/>
                <w:color w:val="0000FF"/>
                <w:kern w:val="0"/>
                <w:sz w:val="18"/>
                <w:szCs w:val="18"/>
              </w:rPr>
              <w:t>不含税/含税</w:t>
            </w:r>
            <w:r>
              <w:rPr>
                <w:rFonts w:hint="eastAsia" w:ascii="宋体" w:hAnsi="宋体" w:cs="宋体"/>
                <w:b/>
                <w:bCs/>
                <w:color w:val="000000"/>
                <w:kern w:val="0"/>
                <w:sz w:val="18"/>
                <w:szCs w:val="18"/>
              </w:rPr>
              <w:t>）</w:t>
            </w:r>
          </w:p>
          <w:p>
            <w:pPr>
              <w:widowControl/>
              <w:wordWrap w:val="0"/>
              <w:spacing w:line="240" w:lineRule="exact"/>
              <w:jc w:val="left"/>
              <w:rPr>
                <w:rFonts w:hint="eastAsia" w:ascii="宋体" w:hAnsi="宋体" w:cs="宋体"/>
                <w:b/>
                <w:bCs/>
                <w:color w:val="000000"/>
                <w:kern w:val="0"/>
                <w:sz w:val="18"/>
                <w:szCs w:val="18"/>
              </w:rPr>
            </w:pPr>
            <w:r>
              <w:rPr>
                <w:rFonts w:hint="eastAsia" w:ascii="宋体" w:hAnsi="宋体" w:cs="宋体"/>
                <w:b/>
                <w:bCs/>
                <w:color w:val="000000"/>
                <w:kern w:val="0"/>
                <w:sz w:val="18"/>
                <w:szCs w:val="18"/>
              </w:rPr>
              <w:t>各分项报价保留小数点后2位有效数字</w:t>
            </w:r>
          </w:p>
        </w:tc>
      </w:tr>
      <w:bookmarkEnd w:id="23"/>
    </w:tbl>
    <w:p>
      <w:pPr>
        <w:rPr>
          <w:rFonts w:hint="eastAsia" w:ascii="等线" w:hAnsi="等线" w:eastAsia="等线"/>
          <w:b/>
          <w:bCs/>
          <w:sz w:val="18"/>
          <w:szCs w:val="18"/>
        </w:rPr>
      </w:pPr>
    </w:p>
    <w:sectPr>
      <w:pgSz w:w="16838" w:h="11906" w:orient="landscape"/>
      <w:pgMar w:top="1134"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F9D6B1"/>
    <w:multiLevelType w:val="singleLevel"/>
    <w:tmpl w:val="F9F9D6B1"/>
    <w:lvl w:ilvl="0" w:tentative="0">
      <w:start w:val="1"/>
      <w:numFmt w:val="chineseCounting"/>
      <w:suff w:val="nothing"/>
      <w:lvlText w:val="（%1）"/>
      <w:lvlJc w:val="left"/>
      <w:rPr>
        <w:rFonts w:hint="eastAsia"/>
      </w:rPr>
    </w:lvl>
  </w:abstractNum>
  <w:abstractNum w:abstractNumId="1">
    <w:nsid w:val="04950320"/>
    <w:multiLevelType w:val="multilevel"/>
    <w:tmpl w:val="04950320"/>
    <w:lvl w:ilvl="0" w:tentative="0">
      <w:start w:val="1"/>
      <w:numFmt w:val="chineseCountingThousand"/>
      <w:suff w:val="space"/>
      <w:lvlText w:val="%1、"/>
      <w:lvlJc w:val="left"/>
      <w:pPr>
        <w:ind w:left="440" w:hanging="440"/>
      </w:pPr>
      <w:rPr>
        <w:rFonts w:hint="eastAsia"/>
        <w:b/>
        <w:bCs w:val="0"/>
        <w:color w:val="auto"/>
      </w:rPr>
    </w:lvl>
    <w:lvl w:ilvl="1" w:tentative="0">
      <w:start w:val="1"/>
      <w:numFmt w:val="decimal"/>
      <w:suff w:val="space"/>
      <w:lvlText w:val="%2、"/>
      <w:lvlJc w:val="left"/>
      <w:pPr>
        <w:ind w:left="360" w:hanging="360"/>
      </w:pPr>
      <w:rPr>
        <w:rFonts w:hint="default"/>
        <w:color w:val="auto"/>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A167EE6"/>
    <w:multiLevelType w:val="multilevel"/>
    <w:tmpl w:val="1A167EE6"/>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22072F7D"/>
    <w:multiLevelType w:val="multilevel"/>
    <w:tmpl w:val="22072F7D"/>
    <w:lvl w:ilvl="0" w:tentative="0">
      <w:start w:val="1"/>
      <w:numFmt w:val="decimal"/>
      <w:suff w:val="space"/>
      <w:lvlText w:val="%1、"/>
      <w:lvlJc w:val="left"/>
      <w:pPr>
        <w:ind w:left="357" w:hanging="357"/>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7996265"/>
    <w:multiLevelType w:val="multilevel"/>
    <w:tmpl w:val="27996265"/>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51265CC4"/>
    <w:multiLevelType w:val="multilevel"/>
    <w:tmpl w:val="51265CC4"/>
    <w:lvl w:ilvl="0" w:tentative="0">
      <w:start w:val="1"/>
      <w:numFmt w:val="decimal"/>
      <w:suff w:val="space"/>
      <w:lvlText w:val="%1、"/>
      <w:lvlJc w:val="left"/>
      <w:pPr>
        <w:ind w:left="360" w:hanging="360"/>
      </w:pPr>
      <w:rPr>
        <w:rFonts w:hint="default"/>
      </w:rPr>
    </w:lvl>
    <w:lvl w:ilvl="1" w:tentative="0">
      <w:start w:val="1"/>
      <w:numFmt w:val="decimal"/>
      <w:suff w:val="space"/>
      <w:lvlText w:val="%2、"/>
      <w:lvlJc w:val="left"/>
      <w:pPr>
        <w:ind w:left="357" w:hanging="357"/>
      </w:pPr>
      <w:rPr>
        <w:rFonts w:hint="default"/>
      </w:rPr>
    </w:lvl>
    <w:lvl w:ilvl="2" w:tentative="0">
      <w:start w:val="1"/>
      <w:numFmt w:val="decimalEnclosedCircle"/>
      <w:lvlText w:val="%3"/>
      <w:lvlJc w:val="left"/>
      <w:pPr>
        <w:ind w:left="1240" w:hanging="36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683E4EEF"/>
    <w:multiLevelType w:val="multilevel"/>
    <w:tmpl w:val="683E4EEF"/>
    <w:lvl w:ilvl="0" w:tentative="0">
      <w:start w:val="1"/>
      <w:numFmt w:val="decimal"/>
      <w:suff w:val="spac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118E"/>
    <w:rsid w:val="00021E99"/>
    <w:rsid w:val="00030D64"/>
    <w:rsid w:val="00052384"/>
    <w:rsid w:val="0005690C"/>
    <w:rsid w:val="0006225D"/>
    <w:rsid w:val="00086BF8"/>
    <w:rsid w:val="0009445B"/>
    <w:rsid w:val="000A2ABB"/>
    <w:rsid w:val="000B0B65"/>
    <w:rsid w:val="000B2A32"/>
    <w:rsid w:val="000C3DB0"/>
    <w:rsid w:val="000D3FB3"/>
    <w:rsid w:val="000E6041"/>
    <w:rsid w:val="000F1895"/>
    <w:rsid w:val="000F4A51"/>
    <w:rsid w:val="00105477"/>
    <w:rsid w:val="001132DF"/>
    <w:rsid w:val="00142E42"/>
    <w:rsid w:val="00143264"/>
    <w:rsid w:val="00161C70"/>
    <w:rsid w:val="00163D4A"/>
    <w:rsid w:val="00172A27"/>
    <w:rsid w:val="00191C4B"/>
    <w:rsid w:val="00196C64"/>
    <w:rsid w:val="001B344B"/>
    <w:rsid w:val="001C2BC8"/>
    <w:rsid w:val="001C34FE"/>
    <w:rsid w:val="001D336D"/>
    <w:rsid w:val="001E00C0"/>
    <w:rsid w:val="00200525"/>
    <w:rsid w:val="00214B8E"/>
    <w:rsid w:val="00223A26"/>
    <w:rsid w:val="00223B7B"/>
    <w:rsid w:val="00230B74"/>
    <w:rsid w:val="002442EE"/>
    <w:rsid w:val="00275DE6"/>
    <w:rsid w:val="002C4FA0"/>
    <w:rsid w:val="002F4E44"/>
    <w:rsid w:val="00313E35"/>
    <w:rsid w:val="00321756"/>
    <w:rsid w:val="00322AEF"/>
    <w:rsid w:val="0033402F"/>
    <w:rsid w:val="003536BD"/>
    <w:rsid w:val="00382ADE"/>
    <w:rsid w:val="003855FD"/>
    <w:rsid w:val="00385C1C"/>
    <w:rsid w:val="00393AF6"/>
    <w:rsid w:val="0042263E"/>
    <w:rsid w:val="004369AD"/>
    <w:rsid w:val="004622C9"/>
    <w:rsid w:val="004647BB"/>
    <w:rsid w:val="00464AFF"/>
    <w:rsid w:val="004A5A99"/>
    <w:rsid w:val="004D34D3"/>
    <w:rsid w:val="004F2D3D"/>
    <w:rsid w:val="005529F3"/>
    <w:rsid w:val="00560705"/>
    <w:rsid w:val="005661C5"/>
    <w:rsid w:val="005A3146"/>
    <w:rsid w:val="005A590D"/>
    <w:rsid w:val="005E5FA8"/>
    <w:rsid w:val="005F54F8"/>
    <w:rsid w:val="00601CC6"/>
    <w:rsid w:val="00617A00"/>
    <w:rsid w:val="00654F9A"/>
    <w:rsid w:val="00654FEB"/>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B750E"/>
    <w:rsid w:val="009051D8"/>
    <w:rsid w:val="009152CE"/>
    <w:rsid w:val="00923C29"/>
    <w:rsid w:val="00924E0F"/>
    <w:rsid w:val="00935728"/>
    <w:rsid w:val="0098516E"/>
    <w:rsid w:val="00985317"/>
    <w:rsid w:val="009A319D"/>
    <w:rsid w:val="009A5EB9"/>
    <w:rsid w:val="009B0972"/>
    <w:rsid w:val="009B742A"/>
    <w:rsid w:val="009C48CE"/>
    <w:rsid w:val="009C5AF7"/>
    <w:rsid w:val="009F1404"/>
    <w:rsid w:val="00A23D2B"/>
    <w:rsid w:val="00A646A2"/>
    <w:rsid w:val="00A67251"/>
    <w:rsid w:val="00A953E3"/>
    <w:rsid w:val="00AB2F20"/>
    <w:rsid w:val="00AD7822"/>
    <w:rsid w:val="00B06412"/>
    <w:rsid w:val="00B11759"/>
    <w:rsid w:val="00B13321"/>
    <w:rsid w:val="00B55276"/>
    <w:rsid w:val="00B737BA"/>
    <w:rsid w:val="00B905C4"/>
    <w:rsid w:val="00BA3827"/>
    <w:rsid w:val="00BA64AE"/>
    <w:rsid w:val="00BB45F0"/>
    <w:rsid w:val="00BE1AA5"/>
    <w:rsid w:val="00BF6E8D"/>
    <w:rsid w:val="00C17EF4"/>
    <w:rsid w:val="00C26D29"/>
    <w:rsid w:val="00C3109C"/>
    <w:rsid w:val="00C31999"/>
    <w:rsid w:val="00C3537D"/>
    <w:rsid w:val="00C41956"/>
    <w:rsid w:val="00C45113"/>
    <w:rsid w:val="00C832F8"/>
    <w:rsid w:val="00CA10B9"/>
    <w:rsid w:val="00CA2B21"/>
    <w:rsid w:val="00CB25DB"/>
    <w:rsid w:val="00CB5CB7"/>
    <w:rsid w:val="00CC409F"/>
    <w:rsid w:val="00CE1801"/>
    <w:rsid w:val="00CF7EB6"/>
    <w:rsid w:val="00D02256"/>
    <w:rsid w:val="00D1191E"/>
    <w:rsid w:val="00D36837"/>
    <w:rsid w:val="00D43C43"/>
    <w:rsid w:val="00D44D39"/>
    <w:rsid w:val="00D519B0"/>
    <w:rsid w:val="00D52215"/>
    <w:rsid w:val="00D55399"/>
    <w:rsid w:val="00D60116"/>
    <w:rsid w:val="00D62394"/>
    <w:rsid w:val="00D631A9"/>
    <w:rsid w:val="00D973F5"/>
    <w:rsid w:val="00DB2073"/>
    <w:rsid w:val="00DE75AF"/>
    <w:rsid w:val="00E425AA"/>
    <w:rsid w:val="00E44D16"/>
    <w:rsid w:val="00E64F6B"/>
    <w:rsid w:val="00E900AF"/>
    <w:rsid w:val="00E91FEB"/>
    <w:rsid w:val="00E94316"/>
    <w:rsid w:val="00EA09AD"/>
    <w:rsid w:val="00EA4FE3"/>
    <w:rsid w:val="00EB1A34"/>
    <w:rsid w:val="00EC4A98"/>
    <w:rsid w:val="00EE06F4"/>
    <w:rsid w:val="00EE3E81"/>
    <w:rsid w:val="00F01F45"/>
    <w:rsid w:val="00F26B3B"/>
    <w:rsid w:val="00F66A1B"/>
    <w:rsid w:val="00F705A7"/>
    <w:rsid w:val="00F757F0"/>
    <w:rsid w:val="00F85D7C"/>
    <w:rsid w:val="00F8763E"/>
    <w:rsid w:val="00FA6120"/>
    <w:rsid w:val="00FB1B5D"/>
    <w:rsid w:val="00FB1D21"/>
    <w:rsid w:val="00FC0368"/>
    <w:rsid w:val="00FE7E8F"/>
    <w:rsid w:val="022551BE"/>
    <w:rsid w:val="02BF0A2C"/>
    <w:rsid w:val="046643CE"/>
    <w:rsid w:val="049A5E25"/>
    <w:rsid w:val="054A15F9"/>
    <w:rsid w:val="05F96B7B"/>
    <w:rsid w:val="0D1129FD"/>
    <w:rsid w:val="0E435BC7"/>
    <w:rsid w:val="129D1EC5"/>
    <w:rsid w:val="146E4BD8"/>
    <w:rsid w:val="17EF6030"/>
    <w:rsid w:val="19F8741E"/>
    <w:rsid w:val="1FD21AA6"/>
    <w:rsid w:val="214816EE"/>
    <w:rsid w:val="22EF68F8"/>
    <w:rsid w:val="26B879EF"/>
    <w:rsid w:val="28BD1CFA"/>
    <w:rsid w:val="28D64C70"/>
    <w:rsid w:val="2A9A6A3F"/>
    <w:rsid w:val="2BAC421F"/>
    <w:rsid w:val="2C9C69E0"/>
    <w:rsid w:val="2CE360C1"/>
    <w:rsid w:val="2E59395C"/>
    <w:rsid w:val="2F8C4439"/>
    <w:rsid w:val="308560FA"/>
    <w:rsid w:val="318B24CE"/>
    <w:rsid w:val="40394773"/>
    <w:rsid w:val="464A4625"/>
    <w:rsid w:val="482960B1"/>
    <w:rsid w:val="4AAA7A11"/>
    <w:rsid w:val="4EA30A0A"/>
    <w:rsid w:val="5449601B"/>
    <w:rsid w:val="5A9835E7"/>
    <w:rsid w:val="5B606120"/>
    <w:rsid w:val="5D753EAF"/>
    <w:rsid w:val="5F013C4C"/>
    <w:rsid w:val="60574710"/>
    <w:rsid w:val="617A7CE6"/>
    <w:rsid w:val="62E93375"/>
    <w:rsid w:val="643C6F6D"/>
    <w:rsid w:val="66CA10FA"/>
    <w:rsid w:val="67F73E3E"/>
    <w:rsid w:val="681475F9"/>
    <w:rsid w:val="689F3DBE"/>
    <w:rsid w:val="69DC5C4C"/>
    <w:rsid w:val="6AFD5824"/>
    <w:rsid w:val="6D655CEE"/>
    <w:rsid w:val="6E6F5A4F"/>
    <w:rsid w:val="70BF30CF"/>
    <w:rsid w:val="70E76A1A"/>
    <w:rsid w:val="76F96F87"/>
    <w:rsid w:val="793A29CF"/>
    <w:rsid w:val="7FE0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2"/>
    <w:qFormat/>
    <w:uiPriority w:val="0"/>
    <w:rPr>
      <w:b/>
      <w:bCs/>
    </w:rPr>
  </w:style>
  <w:style w:type="paragraph" w:styleId="4">
    <w:name w:val="annotation text"/>
    <w:basedOn w:val="1"/>
    <w:link w:val="21"/>
    <w:qFormat/>
    <w:uiPriority w:val="0"/>
    <w:pPr>
      <w:jc w:val="left"/>
    </w:pPr>
  </w:style>
  <w:style w:type="paragraph" w:styleId="5">
    <w:name w:val="Body Text"/>
    <w:basedOn w:val="1"/>
    <w:unhideWhenUsed/>
    <w:qFormat/>
    <w:uiPriority w:val="99"/>
    <w:pPr>
      <w:spacing w:line="380" w:lineRule="exact"/>
    </w:pPr>
    <w:rPr>
      <w:rFonts w:ascii="Times New Roman" w:hAnsi="Times New Roman"/>
      <w:sz w:val="24"/>
    </w:rPr>
  </w:style>
  <w:style w:type="paragraph" w:styleId="6">
    <w:name w:val="Balloon Text"/>
    <w:basedOn w:val="1"/>
    <w:link w:val="26"/>
    <w:qFormat/>
    <w:uiPriority w:val="0"/>
    <w:rPr>
      <w:sz w:val="18"/>
      <w:szCs w:val="18"/>
    </w:rPr>
  </w:style>
  <w:style w:type="paragraph" w:styleId="7">
    <w:name w:val="footer"/>
    <w:basedOn w:val="1"/>
    <w:link w:val="24"/>
    <w:qFormat/>
    <w:uiPriority w:val="99"/>
    <w:pPr>
      <w:tabs>
        <w:tab w:val="center" w:pos="4153"/>
        <w:tab w:val="right" w:pos="8306"/>
      </w:tabs>
      <w:snapToGrid w:val="0"/>
      <w:jc w:val="left"/>
    </w:pPr>
    <w:rPr>
      <w:sz w:val="18"/>
      <w:szCs w:val="18"/>
    </w:rPr>
  </w:style>
  <w:style w:type="paragraph" w:styleId="8">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character" w:styleId="11">
    <w:name w:val="Hyperlink"/>
    <w:basedOn w:val="10"/>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paragraph" w:styleId="14">
    <w:name w:val="List Paragraph"/>
    <w:basedOn w:val="1"/>
    <w:qFormat/>
    <w:uiPriority w:val="34"/>
    <w:pPr>
      <w:ind w:firstLine="420" w:firstLineChars="200"/>
    </w:pPr>
    <w:rPr>
      <w:rFonts w:ascii="Times New Roman" w:hAnsi="Times New Roman"/>
      <w:sz w:val="24"/>
      <w:szCs w:val="24"/>
    </w:rPr>
  </w:style>
  <w:style w:type="character" w:customStyle="1" w:styleId="15">
    <w:name w:val="font71"/>
    <w:basedOn w:val="10"/>
    <w:qFormat/>
    <w:uiPriority w:val="0"/>
    <w:rPr>
      <w:rFonts w:hint="eastAsia" w:ascii="宋体" w:hAnsi="宋体" w:eastAsia="宋体" w:cs="宋体"/>
      <w:color w:val="000000"/>
      <w:sz w:val="20"/>
      <w:szCs w:val="20"/>
      <w:u w:val="none"/>
    </w:rPr>
  </w:style>
  <w:style w:type="character" w:customStyle="1" w:styleId="16">
    <w:name w:val="font101"/>
    <w:basedOn w:val="10"/>
    <w:qFormat/>
    <w:uiPriority w:val="0"/>
    <w:rPr>
      <w:rFonts w:hint="eastAsia" w:ascii="宋体" w:hAnsi="宋体" w:eastAsia="宋体" w:cs="宋体"/>
      <w:color w:val="auto"/>
      <w:sz w:val="20"/>
      <w:szCs w:val="20"/>
      <w:u w:val="none"/>
    </w:rPr>
  </w:style>
  <w:style w:type="character" w:customStyle="1" w:styleId="17">
    <w:name w:val="font61"/>
    <w:basedOn w:val="10"/>
    <w:qFormat/>
    <w:uiPriority w:val="0"/>
    <w:rPr>
      <w:rFonts w:hint="eastAsia" w:ascii="宋体" w:hAnsi="宋体" w:eastAsia="宋体" w:cs="宋体"/>
      <w:color w:val="000000"/>
      <w:sz w:val="20"/>
      <w:szCs w:val="20"/>
      <w:u w:val="none"/>
    </w:rPr>
  </w:style>
  <w:style w:type="character" w:customStyle="1" w:styleId="18">
    <w:name w:val="font81"/>
    <w:basedOn w:val="10"/>
    <w:qFormat/>
    <w:uiPriority w:val="0"/>
    <w:rPr>
      <w:rFonts w:hint="eastAsia" w:ascii="宋体" w:hAnsi="宋体" w:eastAsia="宋体" w:cs="宋体"/>
      <w:b/>
      <w:color w:val="1F497D"/>
      <w:sz w:val="20"/>
      <w:szCs w:val="20"/>
      <w:u w:val="none"/>
    </w:rPr>
  </w:style>
  <w:style w:type="character" w:customStyle="1" w:styleId="19">
    <w:name w:val="font91"/>
    <w:basedOn w:val="10"/>
    <w:qFormat/>
    <w:uiPriority w:val="0"/>
    <w:rPr>
      <w:rFonts w:hint="eastAsia" w:ascii="宋体" w:hAnsi="宋体" w:eastAsia="宋体" w:cs="宋体"/>
      <w:b/>
      <w:color w:val="FF0000"/>
      <w:sz w:val="20"/>
      <w:szCs w:val="20"/>
      <w:u w:val="none"/>
    </w:rPr>
  </w:style>
  <w:style w:type="character" w:customStyle="1" w:styleId="20">
    <w:name w:val="font51"/>
    <w:basedOn w:val="10"/>
    <w:qFormat/>
    <w:uiPriority w:val="0"/>
    <w:rPr>
      <w:rFonts w:hint="eastAsia" w:ascii="宋体" w:hAnsi="宋体" w:eastAsia="宋体" w:cs="宋体"/>
      <w:color w:val="000000"/>
      <w:sz w:val="20"/>
      <w:szCs w:val="20"/>
      <w:u w:val="none"/>
    </w:rPr>
  </w:style>
  <w:style w:type="character" w:customStyle="1" w:styleId="21">
    <w:name w:val="批注文字 字符"/>
    <w:basedOn w:val="10"/>
    <w:link w:val="4"/>
    <w:qFormat/>
    <w:uiPriority w:val="0"/>
    <w:rPr>
      <w:rFonts w:ascii="Calibri" w:hAnsi="Calibri"/>
      <w:kern w:val="2"/>
      <w:sz w:val="21"/>
      <w:szCs w:val="22"/>
    </w:rPr>
  </w:style>
  <w:style w:type="character" w:customStyle="1" w:styleId="22">
    <w:name w:val="批注主题 字符"/>
    <w:basedOn w:val="21"/>
    <w:link w:val="3"/>
    <w:qFormat/>
    <w:uiPriority w:val="0"/>
    <w:rPr>
      <w:rFonts w:ascii="Calibri" w:hAnsi="Calibri"/>
      <w:b/>
      <w:bCs/>
      <w:kern w:val="2"/>
      <w:sz w:val="21"/>
      <w:szCs w:val="22"/>
    </w:rPr>
  </w:style>
  <w:style w:type="character" w:customStyle="1" w:styleId="23">
    <w:name w:val="页眉 字符"/>
    <w:basedOn w:val="10"/>
    <w:link w:val="8"/>
    <w:qFormat/>
    <w:uiPriority w:val="0"/>
    <w:rPr>
      <w:rFonts w:ascii="Calibri" w:hAnsi="Calibri"/>
      <w:kern w:val="2"/>
      <w:sz w:val="18"/>
      <w:szCs w:val="18"/>
    </w:rPr>
  </w:style>
  <w:style w:type="character" w:customStyle="1" w:styleId="24">
    <w:name w:val="页脚 字符"/>
    <w:basedOn w:val="10"/>
    <w:link w:val="7"/>
    <w:qFormat/>
    <w:uiPriority w:val="0"/>
    <w:rPr>
      <w:rFonts w:ascii="Calibri" w:hAnsi="Calibri"/>
      <w:kern w:val="2"/>
      <w:sz w:val="18"/>
      <w:szCs w:val="18"/>
    </w:rPr>
  </w:style>
  <w:style w:type="character" w:customStyle="1" w:styleId="25">
    <w:name w:val="Unresolved Mention"/>
    <w:basedOn w:val="10"/>
    <w:semiHidden/>
    <w:unhideWhenUsed/>
    <w:qFormat/>
    <w:uiPriority w:val="99"/>
    <w:rPr>
      <w:color w:val="605E5C"/>
      <w:shd w:val="clear" w:color="auto" w:fill="E1DFDD"/>
    </w:rPr>
  </w:style>
  <w:style w:type="character" w:customStyle="1" w:styleId="26">
    <w:name w:val="批注框文本 字符"/>
    <w:basedOn w:val="10"/>
    <w:link w:val="6"/>
    <w:qFormat/>
    <w:uiPriority w:val="0"/>
    <w:rPr>
      <w:rFonts w:ascii="Calibri" w:hAnsi="Calibri"/>
      <w:kern w:val="2"/>
      <w:sz w:val="18"/>
      <w:szCs w:val="18"/>
    </w:rPr>
  </w:style>
  <w:style w:type="character" w:customStyle="1" w:styleId="27">
    <w:name w:val="页脚 Char"/>
    <w:qFormat/>
    <w:uiPriority w:val="99"/>
    <w:rPr>
      <w:kern w:val="2"/>
      <w:sz w:val="18"/>
      <w:szCs w:val="18"/>
    </w:rPr>
  </w:style>
  <w:style w:type="paragraph" w:customStyle="1" w:styleId="28">
    <w:name w:val="_Style 27"/>
    <w:basedOn w:val="1"/>
    <w:next w:val="14"/>
    <w:qFormat/>
    <w:uiPriority w:val="34"/>
    <w:pPr>
      <w:ind w:firstLine="420" w:firstLineChars="200"/>
    </w:pPr>
    <w:rPr>
      <w:rFonts w:ascii="等线" w:hAnsi="等线" w:eastAsia="等线"/>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5414</Words>
  <Characters>5640</Characters>
  <Lines>57</Lines>
  <Paragraphs>16</Paragraphs>
  <TotalTime>2134</TotalTime>
  <ScaleCrop>false</ScaleCrop>
  <LinksUpToDate>false</LinksUpToDate>
  <CharactersWithSpaces>5661</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2026-06-03T14:52:00Z</dcterms:created>
  <dc:creator>chenyaohui</dc:creator>
  <cp:lastModifiedBy>Zhouyz</cp:lastModifiedBy>
  <dcterms:modified xsi:type="dcterms:W3CDTF">2026-09-24T08:26:43Z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KSOTemplateDocerSaveRecord">
    <vt:lpwstr>eyJoZGlkIjoiZTllYTgxZDBiZmQwZjBkYzY1NjhhN2EyOTRiYTJlNjQiLCJ1c2VySWQiOiI3OTQ1Mzc0NDQifQ==</vt:lpwstr>
  </property>
  <property fmtid="{D5CDD505-2E9C-101B-9397-08002B2CF9AE}" pid="4" name="ICV">
    <vt:lpwstr>7F4BE8CC8B8E4BDDB0A246795928178F_12</vt:lpwstr>
  </property>
</Properties>
</file>