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30"/>
          <w:szCs w:val="30"/>
          <w:highlight w:val="none"/>
          <w:lang w:val="en-US" w:eastAsia="zh-CN"/>
        </w:rPr>
        <w:t>KSY02行李舱防滑板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30"/>
          <w:szCs w:val="30"/>
          <w:highlight w:val="none"/>
          <w:lang w:eastAsia="zh-CN"/>
        </w:rPr>
        <w:t>招标要求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lang w:val="en-US" w:eastAsia="zh-CN"/>
        </w:rPr>
        <w:t>物料说明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  <w:t>423031013-行李舱双面覆膜防滑板，（长*宽*高=1220*2440*12）--单位mm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  <w:t>423031014-行李舱双面覆膜防滑板，（长*宽*高=1450*2440*12）--单位mm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  <w:t>423031015-行李舱双面覆膜防滑板，（长*宽*高=915*2440*12）--单位mm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highlight w:val="none"/>
          <w:lang w:val="en-US" w:eastAsia="zh-CN"/>
        </w:rPr>
        <w:t>技术要求</w:t>
      </w:r>
    </w:p>
    <w:p>
      <w:pPr>
        <w:spacing w:line="360" w:lineRule="auto"/>
        <w:ind w:firstLine="210" w:firstLineChars="100"/>
        <w:rPr>
          <w:rFonts w:hint="eastAsia" w:asciiTheme="majorEastAsia" w:hAnsiTheme="majorEastAsia" w:eastAsiaTheme="majorEastAsia" w:cstheme="majorEastAsia"/>
          <w:color w:val="auto"/>
        </w:rPr>
      </w:pPr>
      <w:r>
        <w:rPr>
          <w:rFonts w:hint="eastAsia" w:asciiTheme="majorEastAsia" w:hAnsiTheme="majorEastAsia" w:eastAsiaTheme="majorEastAsia" w:cstheme="majorEastAsia"/>
          <w:color w:val="auto"/>
        </w:rPr>
        <w:t>1、本次开发的</w:t>
      </w:r>
      <w:r>
        <w:rPr>
          <w:rFonts w:hint="eastAsia" w:asciiTheme="majorEastAsia" w:hAnsiTheme="majorEastAsia" w:eastAsiaTheme="majorEastAsia" w:cstheme="majorEastAsia"/>
          <w:color w:val="auto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u w:val="single"/>
          <w:lang w:val="en-US" w:eastAsia="zh-CN"/>
        </w:rPr>
        <w:t>防滑板</w:t>
      </w:r>
      <w:r>
        <w:rPr>
          <w:rFonts w:hint="eastAsia" w:asciiTheme="majorEastAsia" w:hAnsiTheme="majorEastAsia" w:eastAsiaTheme="majorEastAsia" w:cstheme="majorEastAsia"/>
          <w:color w:val="auto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auto"/>
        </w:rPr>
        <w:t>采用</w:t>
      </w:r>
      <w:r>
        <w:rPr>
          <w:rFonts w:hint="eastAsia" w:asciiTheme="majorEastAsia" w:hAnsiTheme="majorEastAsia" w:eastAsiaTheme="majorEastAsia" w:cstheme="majorEastAsia"/>
          <w:color w:val="auto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u w:val="single"/>
          <w:lang w:val="en-US" w:eastAsia="zh-CN"/>
        </w:rPr>
        <w:t>高温热压覆膜</w:t>
      </w:r>
      <w:r>
        <w:rPr>
          <w:rFonts w:hint="eastAsia" w:asciiTheme="majorEastAsia" w:hAnsiTheme="majorEastAsia" w:eastAsiaTheme="majorEastAsia" w:cstheme="majorEastAsia"/>
          <w:color w:val="auto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</w:rPr>
        <w:t>工艺，</w:t>
      </w:r>
      <w:r>
        <w:rPr>
          <w:rFonts w:hint="eastAsia" w:asciiTheme="majorEastAsia" w:hAnsiTheme="majorEastAsia" w:eastAsiaTheme="majorEastAsia" w:cstheme="majorEastAsia"/>
          <w:color w:val="auto"/>
          <w:lang w:val="en-US" w:eastAsia="zh-CN"/>
        </w:rPr>
        <w:t>表观不允许存在污染、</w:t>
      </w:r>
      <w:r>
        <w:rPr>
          <w:rFonts w:hint="eastAsia" w:asciiTheme="majorEastAsia" w:hAnsiTheme="majorEastAsia" w:eastAsiaTheme="majorEastAsia" w:cstheme="majorEastAsia"/>
          <w:color w:val="auto"/>
          <w:spacing w:val="1"/>
        </w:rPr>
        <w:t>缝隙、孔洞、针结、活结等缺陷</w:t>
      </w:r>
      <w:r>
        <w:rPr>
          <w:rFonts w:hint="eastAsia" w:asciiTheme="majorEastAsia" w:hAnsiTheme="majorEastAsia" w:eastAsiaTheme="majorEastAsia" w:cstheme="majorEastAsia"/>
          <w:color w:val="auto"/>
        </w:rPr>
        <w:t>，产品拼装缝隙均匀，固定可靠。</w:t>
      </w:r>
    </w:p>
    <w:p>
      <w:pPr>
        <w:spacing w:line="360" w:lineRule="auto"/>
        <w:ind w:firstLine="210" w:firstLineChars="10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</w:rPr>
        <w:t>2、材料</w:t>
      </w:r>
      <w:r>
        <w:rPr>
          <w:rFonts w:hint="eastAsia" w:asciiTheme="majorEastAsia" w:hAnsiTheme="majorEastAsia" w:eastAsiaTheme="majorEastAsia" w:cstheme="majorEastAsia"/>
          <w:color w:val="auto"/>
          <w:lang w:val="en-US" w:eastAsia="zh-CN"/>
        </w:rPr>
        <w:t>(含首台样件）</w:t>
      </w:r>
      <w:r>
        <w:rPr>
          <w:rFonts w:hint="eastAsia" w:asciiTheme="majorEastAsia" w:hAnsiTheme="majorEastAsia" w:eastAsiaTheme="majorEastAsia" w:cstheme="majorEastAsia"/>
          <w:color w:val="auto"/>
          <w:kern w:val="0"/>
        </w:rPr>
        <w:t>应符合《JT/T 1095营运客车内饰材料阻燃特性》，以及QC/T236、环保和结构强度等相关国家和行业标准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lang w:val="en-US" w:eastAsia="zh-CN"/>
        </w:rPr>
        <w:t>如下：</w:t>
      </w:r>
    </w:p>
    <w:p>
      <w:pPr>
        <w:pStyle w:val="6"/>
        <w:spacing w:before="156" w:beforeLines="50"/>
        <w:ind w:left="0" w:leftChars="0" w:firstLine="210" w:firstLineChars="100"/>
        <w:rPr>
          <w:rFonts w:hint="eastAsia" w:asciiTheme="majorEastAsia" w:hAnsiTheme="majorEastAsia" w:eastAsiaTheme="majorEastAsia" w:cstheme="majorEastAsia"/>
          <w:color w:val="auto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lang w:val="en-US" w:eastAsia="zh-CN"/>
        </w:rPr>
        <w:t>1）防滑板</w:t>
      </w:r>
      <w:r>
        <w:rPr>
          <w:rFonts w:hint="eastAsia" w:asciiTheme="majorEastAsia" w:hAnsiTheme="majorEastAsia" w:eastAsiaTheme="majorEastAsia" w:cstheme="majorEastAsia"/>
          <w:color w:val="auto"/>
        </w:rPr>
        <w:t>气味等级</w:t>
      </w:r>
      <w:r>
        <w:rPr>
          <w:rFonts w:hint="eastAsia" w:asciiTheme="majorEastAsia" w:hAnsiTheme="majorEastAsia" w:eastAsiaTheme="majorEastAsia" w:cstheme="majorEastAsia"/>
          <w:color w:val="auto"/>
          <w:lang w:eastAsia="zh-CN"/>
        </w:rPr>
        <w:t>应满足以下表</w:t>
      </w:r>
      <w:r>
        <w:rPr>
          <w:rFonts w:hint="eastAsia" w:asciiTheme="majorEastAsia" w:hAnsiTheme="majorEastAsia" w:eastAsiaTheme="majorEastAsia" w:cstheme="majorEastAsia"/>
          <w:color w:val="auto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color w:val="auto"/>
          <w:lang w:eastAsia="zh-CN"/>
        </w:rPr>
        <w:t>要求：</w:t>
      </w:r>
    </w:p>
    <w:p>
      <w:pPr>
        <w:pStyle w:val="6"/>
        <w:spacing w:before="156" w:beforeLines="50" w:after="156" w:afterLines="50"/>
        <w:ind w:firstLine="420"/>
        <w:jc w:val="center"/>
        <w:rPr>
          <w:rFonts w:hint="eastAsia"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表1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  <w:t>内饰材料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气味等级要求</w:t>
      </w:r>
    </w:p>
    <w:tbl>
      <w:tblPr>
        <w:tblStyle w:val="3"/>
        <w:tblW w:w="9356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250"/>
        <w:gridCol w:w="1923"/>
        <w:gridCol w:w="1615"/>
        <w:gridCol w:w="17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9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325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eastAsia="zh-CN"/>
              </w:rPr>
              <w:t>非金属材料</w:t>
            </w:r>
          </w:p>
        </w:tc>
        <w:tc>
          <w:tcPr>
            <w:tcW w:w="1923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val="en-US" w:eastAsia="zh-CN"/>
              </w:rPr>
              <w:t>23℃气味强度</w:t>
            </w:r>
          </w:p>
        </w:tc>
        <w:tc>
          <w:tcPr>
            <w:tcW w:w="1615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val="en-US" w:eastAsia="zh-CN"/>
              </w:rPr>
              <w:t>40℃气味强度</w:t>
            </w:r>
          </w:p>
        </w:tc>
        <w:tc>
          <w:tcPr>
            <w:tcW w:w="1739" w:type="dxa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auto"/>
                <w:sz w:val="18"/>
                <w:szCs w:val="18"/>
                <w:lang w:val="en-US" w:eastAsia="zh-CN"/>
              </w:rPr>
              <w:t>80℃气味强度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9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25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粘接、密封胶</w:t>
            </w:r>
          </w:p>
        </w:tc>
        <w:tc>
          <w:tcPr>
            <w:tcW w:w="1923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≤3.0</w:t>
            </w:r>
          </w:p>
        </w:tc>
        <w:tc>
          <w:tcPr>
            <w:tcW w:w="1615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≤3.5</w:t>
            </w:r>
          </w:p>
        </w:tc>
        <w:tc>
          <w:tcPr>
            <w:tcW w:w="1739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9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5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地板基材</w:t>
            </w:r>
          </w:p>
        </w:tc>
        <w:tc>
          <w:tcPr>
            <w:tcW w:w="1923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≤3.0</w:t>
            </w:r>
          </w:p>
        </w:tc>
        <w:tc>
          <w:tcPr>
            <w:tcW w:w="1615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≤3.5</w:t>
            </w:r>
          </w:p>
        </w:tc>
        <w:tc>
          <w:tcPr>
            <w:tcW w:w="1739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9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5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热熔胶</w:t>
            </w:r>
          </w:p>
        </w:tc>
        <w:tc>
          <w:tcPr>
            <w:tcW w:w="1923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≤2.5</w:t>
            </w:r>
          </w:p>
        </w:tc>
        <w:tc>
          <w:tcPr>
            <w:tcW w:w="1615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≤3.0</w:t>
            </w:r>
          </w:p>
        </w:tc>
        <w:tc>
          <w:tcPr>
            <w:tcW w:w="1739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≤3.5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56" w:type="dxa"/>
            <w:gridSpan w:val="5"/>
            <w:vAlign w:val="top"/>
          </w:tcPr>
          <w:p>
            <w:pP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  <w:t>注：未注明材料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23℃气味强度≤3.0,80℃气味强度≤3.5。</w:t>
            </w:r>
          </w:p>
        </w:tc>
      </w:tr>
    </w:tbl>
    <w:p>
      <w:pPr>
        <w:rPr>
          <w:rFonts w:hint="eastAsia" w:asciiTheme="majorEastAsia" w:hAnsiTheme="majorEastAsia" w:eastAsiaTheme="majorEastAsia" w:cstheme="majorEastAsia"/>
          <w:color w:val="auto"/>
          <w:szCs w:val="21"/>
        </w:rPr>
      </w:pPr>
    </w:p>
    <w:p>
      <w:pPr>
        <w:numPr>
          <w:ilvl w:val="0"/>
          <w:numId w:val="3"/>
        </w:numPr>
        <w:spacing w:line="360" w:lineRule="auto"/>
        <w:ind w:firstLine="342" w:firstLineChars="150"/>
        <w:rPr>
          <w:rFonts w:hint="eastAsia" w:asciiTheme="majorEastAsia" w:hAnsiTheme="majorEastAsia" w:eastAsiaTheme="majorEastAsia" w:cstheme="majorEastAsia"/>
          <w:color w:val="auto"/>
          <w:kern w:val="0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1"/>
          <w:sz w:val="23"/>
          <w:szCs w:val="23"/>
          <w:lang w:val="en-US" w:eastAsia="zh-CN"/>
        </w:rPr>
        <w:t>防滑板</w:t>
      </w:r>
      <w:r>
        <w:rPr>
          <w:rFonts w:hint="eastAsia" w:asciiTheme="majorEastAsia" w:hAnsiTheme="majorEastAsia" w:eastAsiaTheme="majorEastAsia" w:cstheme="majorEastAsia"/>
          <w:color w:val="auto"/>
          <w:spacing w:val="-1"/>
          <w:sz w:val="23"/>
          <w:szCs w:val="23"/>
        </w:rPr>
        <w:t>的外观质量要求</w:t>
      </w:r>
      <w:r>
        <w:rPr>
          <w:rFonts w:hint="eastAsia" w:asciiTheme="majorEastAsia" w:hAnsiTheme="majorEastAsia" w:eastAsiaTheme="majorEastAsia" w:cstheme="majorEastAsia"/>
          <w:color w:val="auto"/>
          <w:spacing w:val="-1"/>
          <w:sz w:val="23"/>
          <w:szCs w:val="23"/>
          <w:lang w:val="en-US" w:eastAsia="zh-CN"/>
        </w:rPr>
        <w:t>需满足表2要求：</w:t>
      </w:r>
    </w:p>
    <w:p>
      <w:pPr>
        <w:pStyle w:val="6"/>
        <w:spacing w:before="156" w:beforeLines="50" w:after="156" w:afterLines="50"/>
        <w:ind w:firstLine="420"/>
        <w:jc w:val="center"/>
        <w:rPr>
          <w:rFonts w:hint="eastAsia" w:asciiTheme="majorEastAsia" w:hAnsiTheme="majorEastAsia" w:eastAsiaTheme="majorEastAsia" w:cstheme="majorEastAsia"/>
          <w:color w:val="auto"/>
          <w:kern w:val="0"/>
          <w:lang w:val="en-US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-1"/>
          <w:sz w:val="23"/>
          <w:szCs w:val="23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表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防滑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板的外观质量要求</w:t>
      </w:r>
    </w:p>
    <w:tbl>
      <w:tblPr>
        <w:tblStyle w:val="9"/>
        <w:tblW w:w="92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5"/>
        <w:gridCol w:w="2900"/>
        <w:gridCol w:w="27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605" w:type="dxa"/>
            <w:vAlign w:val="center"/>
          </w:tcPr>
          <w:p>
            <w:pPr>
              <w:pStyle w:val="8"/>
              <w:spacing w:before="64" w:line="218" w:lineRule="auto"/>
              <w:ind w:left="1224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缺陷名称</w:t>
            </w:r>
          </w:p>
        </w:tc>
        <w:tc>
          <w:tcPr>
            <w:tcW w:w="2900" w:type="dxa"/>
            <w:vAlign w:val="top"/>
          </w:tcPr>
          <w:p>
            <w:pPr>
              <w:pStyle w:val="8"/>
              <w:spacing w:before="62" w:line="219" w:lineRule="auto"/>
              <w:ind w:left="1113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  <w:t>面板</w:t>
            </w:r>
          </w:p>
        </w:tc>
        <w:tc>
          <w:tcPr>
            <w:tcW w:w="2713" w:type="dxa"/>
            <w:vAlign w:val="top"/>
          </w:tcPr>
          <w:p>
            <w:pPr>
              <w:pStyle w:val="8"/>
              <w:spacing w:before="62" w:line="219" w:lineRule="auto"/>
              <w:ind w:left="1057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5"/>
                <w:sz w:val="18"/>
                <w:szCs w:val="18"/>
              </w:rPr>
              <w:t>背板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3605" w:type="dxa"/>
            <w:vAlign w:val="center"/>
          </w:tcPr>
          <w:p>
            <w:pPr>
              <w:pStyle w:val="8"/>
              <w:spacing w:before="60" w:line="217" w:lineRule="auto"/>
              <w:ind w:left="1224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表面污染</w:t>
            </w:r>
          </w:p>
        </w:tc>
        <w:tc>
          <w:tcPr>
            <w:tcW w:w="2900" w:type="dxa"/>
            <w:vAlign w:val="top"/>
          </w:tcPr>
          <w:p>
            <w:pPr>
              <w:pStyle w:val="8"/>
              <w:spacing w:before="59" w:line="218" w:lineRule="auto"/>
              <w:ind w:left="93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18"/>
                <w:szCs w:val="18"/>
              </w:rPr>
              <w:t>不允许</w:t>
            </w:r>
          </w:p>
        </w:tc>
        <w:tc>
          <w:tcPr>
            <w:tcW w:w="2713" w:type="dxa"/>
            <w:vAlign w:val="top"/>
          </w:tcPr>
          <w:p>
            <w:pPr>
              <w:pStyle w:val="8"/>
              <w:spacing w:before="59" w:line="218" w:lineRule="auto"/>
              <w:ind w:left="138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18"/>
                <w:szCs w:val="18"/>
              </w:rPr>
              <w:t>不允许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3605" w:type="dxa"/>
            <w:vAlign w:val="center"/>
          </w:tcPr>
          <w:p>
            <w:pPr>
              <w:pStyle w:val="8"/>
              <w:spacing w:before="60" w:line="217" w:lineRule="auto"/>
              <w:ind w:left="1224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4"/>
                <w:sz w:val="18"/>
                <w:szCs w:val="18"/>
              </w:rPr>
              <w:t>边角缺损</w:t>
            </w:r>
          </w:p>
        </w:tc>
        <w:tc>
          <w:tcPr>
            <w:tcW w:w="2900" w:type="dxa"/>
            <w:vAlign w:val="top"/>
          </w:tcPr>
          <w:p>
            <w:pPr>
              <w:pStyle w:val="8"/>
              <w:spacing w:before="59" w:line="218" w:lineRule="auto"/>
              <w:ind w:left="93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公称幅面内不超过1mm</w:t>
            </w:r>
          </w:p>
        </w:tc>
        <w:tc>
          <w:tcPr>
            <w:tcW w:w="2713" w:type="dxa"/>
            <w:vAlign w:val="top"/>
          </w:tcPr>
          <w:p>
            <w:pPr>
              <w:pStyle w:val="8"/>
              <w:spacing w:before="59" w:line="218" w:lineRule="auto"/>
              <w:ind w:left="138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公称幅面内不超过1mm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5" w:type="dxa"/>
            <w:vAlign w:val="center"/>
          </w:tcPr>
          <w:p>
            <w:pPr>
              <w:pStyle w:val="8"/>
              <w:spacing w:before="262" w:line="240" w:lineRule="auto"/>
              <w:ind w:firstLine="364" w:firstLineChars="20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</w:rPr>
              <w:t>缝隙、孔洞、针结、活结等缺陷</w:t>
            </w:r>
          </w:p>
        </w:tc>
        <w:tc>
          <w:tcPr>
            <w:tcW w:w="5613" w:type="dxa"/>
            <w:gridSpan w:val="2"/>
            <w:vAlign w:val="top"/>
          </w:tcPr>
          <w:p>
            <w:pPr>
              <w:pStyle w:val="8"/>
              <w:spacing w:before="12" w:line="219" w:lineRule="auto"/>
              <w:ind w:left="104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18"/>
                <w:szCs w:val="18"/>
              </w:rPr>
              <w:t>不允许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3605" w:type="dxa"/>
            <w:vAlign w:val="center"/>
          </w:tcPr>
          <w:p>
            <w:pPr>
              <w:pStyle w:val="8"/>
              <w:spacing w:before="23" w:line="219" w:lineRule="auto"/>
              <w:ind w:left="784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</w:rPr>
              <w:t>分层、楞筋</w:t>
            </w:r>
          </w:p>
        </w:tc>
        <w:tc>
          <w:tcPr>
            <w:tcW w:w="2900" w:type="dxa"/>
            <w:vAlign w:val="top"/>
          </w:tcPr>
          <w:p>
            <w:pPr>
              <w:pStyle w:val="8"/>
              <w:spacing w:before="43" w:line="219" w:lineRule="auto"/>
              <w:ind w:left="93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在光线充足情况下，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  <w:lang w:val="en-US" w:eastAsia="zh-CN"/>
              </w:rPr>
              <w:t>在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500mm距离目视，若光线不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</w:rPr>
              <w:t>足情况下，借助手电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  <w:lang w:val="en-US" w:eastAsia="zh-CN"/>
              </w:rPr>
              <w:t>在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500mm距离辅助观看，无明显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分层、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楞筋缺陷。(楞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筋长度小于30mm,200mm钢板尺靠上，缝隙不大于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18"/>
                <w:szCs w:val="18"/>
              </w:rPr>
              <w:t>1mm)。</w:t>
            </w:r>
          </w:p>
        </w:tc>
        <w:tc>
          <w:tcPr>
            <w:tcW w:w="2713" w:type="dxa"/>
            <w:vAlign w:val="center"/>
          </w:tcPr>
          <w:p>
            <w:pPr>
              <w:pStyle w:val="8"/>
              <w:spacing w:before="23" w:line="219" w:lineRule="auto"/>
              <w:ind w:left="138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</w:rPr>
              <w:t>无分层，楞筋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3605" w:type="dxa"/>
            <w:vAlign w:val="center"/>
          </w:tcPr>
          <w:p>
            <w:pPr>
              <w:pStyle w:val="8"/>
              <w:spacing w:before="71" w:line="219" w:lineRule="auto"/>
              <w:ind w:firstLine="728" w:firstLineChars="40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</w:rPr>
              <w:t>打钉后无明显楞筋缺陷</w:t>
            </w:r>
          </w:p>
        </w:tc>
        <w:tc>
          <w:tcPr>
            <w:tcW w:w="2900" w:type="dxa"/>
            <w:vAlign w:val="top"/>
          </w:tcPr>
          <w:p>
            <w:pPr>
              <w:pStyle w:val="8"/>
              <w:spacing w:before="24" w:line="228" w:lineRule="auto"/>
              <w:ind w:left="83" w:firstLine="9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打钉后站在舱门位置目视，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8"/>
                <w:sz w:val="18"/>
                <w:szCs w:val="18"/>
              </w:rPr>
              <w:t>自然光不足时，可借助手电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在舱门位置目视，不允许出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7"/>
                <w:sz w:val="18"/>
                <w:szCs w:val="18"/>
              </w:rPr>
              <w:t>现明显楞筋，分层，鼓泡缺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4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陷。(楞筋长度小于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30mm,200mm钢板尺靠上， 缝隙不大于1mm)。</w:t>
            </w:r>
          </w:p>
        </w:tc>
        <w:tc>
          <w:tcPr>
            <w:tcW w:w="2713" w:type="dxa"/>
            <w:vAlign w:val="center"/>
          </w:tcPr>
          <w:p>
            <w:pPr>
              <w:pStyle w:val="8"/>
              <w:spacing w:before="47" w:line="219" w:lineRule="auto"/>
              <w:ind w:left="138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18"/>
                <w:szCs w:val="18"/>
              </w:rPr>
              <w:t>不做要求</w: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eastAsia" w:asciiTheme="majorEastAsia" w:hAnsiTheme="majorEastAsia" w:eastAsiaTheme="majorEastAsia" w:cstheme="majorEastAsia"/>
          <w:color w:val="auto"/>
          <w:kern w:val="0"/>
        </w:rPr>
      </w:pPr>
    </w:p>
    <w:p>
      <w:pPr>
        <w:numPr>
          <w:ilvl w:val="0"/>
          <w:numId w:val="3"/>
        </w:numPr>
        <w:spacing w:line="360" w:lineRule="auto"/>
        <w:ind w:firstLine="315" w:firstLineChars="150"/>
        <w:rPr>
          <w:rFonts w:hint="eastAsia" w:asciiTheme="majorEastAsia" w:hAnsiTheme="majorEastAsia" w:eastAsiaTheme="majorEastAsia" w:cstheme="majorEastAsia"/>
          <w:color w:val="auto"/>
          <w:kern w:val="0"/>
        </w:rPr>
      </w:pPr>
      <w:r>
        <w:rPr>
          <w:rFonts w:hint="eastAsia" w:asciiTheme="majorEastAsia" w:hAnsiTheme="majorEastAsia" w:eastAsiaTheme="majorEastAsia" w:cstheme="majorEastAsia"/>
          <w:color w:val="auto"/>
          <w:kern w:val="0"/>
          <w:lang w:val="en-US" w:eastAsia="zh-CN"/>
        </w:rPr>
        <w:t>表皮耐刮擦要求：在行程100mm，重锤质量1.5Kg的条件下，用粗帆布经3000次/h频率摩擦2h试验，磨损量≤0.1mm。</w:t>
      </w:r>
    </w:p>
    <w:p>
      <w:pPr>
        <w:spacing w:line="360" w:lineRule="auto"/>
        <w:ind w:firstLine="315" w:firstLineChars="150"/>
        <w:rPr>
          <w:rFonts w:hint="eastAsia" w:asciiTheme="majorEastAsia" w:hAnsiTheme="majorEastAsia" w:eastAsiaTheme="majorEastAsia" w:cstheme="majorEastAsia"/>
          <w:color w:val="auto"/>
          <w:kern w:val="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auto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产品要求在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  <w:lang w:val="en-US" w:eastAsia="zh-CN"/>
        </w:rPr>
        <w:t>-40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℃至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  <w:lang w:val="en-US" w:eastAsia="zh-CN"/>
        </w:rPr>
        <w:t>80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℃环境温度范围内正常使用，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sz w:val="21"/>
          <w:szCs w:val="21"/>
        </w:rPr>
        <w:t>不应出现起泡、开裂、变形、分层等现象；外覆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sz w:val="21"/>
          <w:szCs w:val="21"/>
          <w:lang w:val="en-US" w:eastAsia="zh-CN"/>
        </w:rPr>
        <w:t>涂层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sz w:val="21"/>
          <w:szCs w:val="21"/>
        </w:rPr>
        <w:t>工艺不得出现脱革、起泡、起皱、拉裂等现象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。需确保同一批次产品，色差值</w:t>
      </w:r>
      <w:r>
        <w:rPr>
          <w:rFonts w:hint="eastAsia" w:asciiTheme="majorEastAsia" w:hAnsiTheme="majorEastAsia" w:eastAsiaTheme="majorEastAsia" w:cstheme="majorEastAsia"/>
          <w:color w:val="auto"/>
          <w:spacing w:val="-8"/>
          <w:sz w:val="21"/>
          <w:szCs w:val="21"/>
        </w:rPr>
        <w:t>ΔE≤</w:t>
      </w:r>
      <w:r>
        <w:rPr>
          <w:rFonts w:hint="eastAsia" w:asciiTheme="majorEastAsia" w:hAnsiTheme="majorEastAsia" w:eastAsiaTheme="majorEastAsia" w:cstheme="majorEastAsia"/>
          <w:color w:val="auto"/>
          <w:spacing w:val="-8"/>
          <w:sz w:val="21"/>
          <w:szCs w:val="21"/>
          <w:lang w:val="en-US" w:eastAsia="zh-CN"/>
        </w:rPr>
        <w:t>1.0</w:t>
      </w:r>
      <w:r>
        <w:rPr>
          <w:rFonts w:hint="eastAsia" w:asciiTheme="majorEastAsia" w:hAnsiTheme="majorEastAsia" w:eastAsiaTheme="majorEastAsia" w:cstheme="majorEastAsia"/>
          <w:color w:val="auto"/>
          <w:kern w:val="0"/>
        </w:rPr>
        <w:t>。</w:t>
      </w:r>
    </w:p>
    <w:p>
      <w:pPr>
        <w:spacing w:line="360" w:lineRule="auto"/>
        <w:ind w:firstLine="315" w:firstLineChars="150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、本产品的主调颜色为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黑色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>，具体颜色以订单配置要求为准，按物料代码执行（一物一码）。</w:t>
      </w:r>
    </w:p>
    <w:p>
      <w:pPr>
        <w:spacing w:line="360" w:lineRule="auto"/>
        <w:ind w:left="420" w:leftChars="150" w:hanging="105" w:hangingChars="50"/>
        <w:rPr>
          <w:rFonts w:hint="eastAsia"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、 材料符合环保检测要求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按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VDA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275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\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VDA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275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标准检测方法执行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：</w:t>
      </w:r>
    </w:p>
    <w:p>
      <w:pPr>
        <w:spacing w:line="360" w:lineRule="auto"/>
        <w:ind w:left="525" w:leftChars="250" w:firstLine="105" w:firstLineChars="50"/>
        <w:rPr>
          <w:rFonts w:hint="eastAsia"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(1)、TVOC（μgC/g）＜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50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。</w:t>
      </w:r>
    </w:p>
    <w:p>
      <w:pPr>
        <w:spacing w:line="360" w:lineRule="auto"/>
        <w:ind w:firstLine="630" w:firstLineChars="300"/>
        <w:rPr>
          <w:rFonts w:hint="eastAsia"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(2)、甲醛释放量（mg/kg）＜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10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。</w:t>
      </w:r>
      <w:bookmarkStart w:id="0" w:name="_GoBack"/>
      <w:bookmarkEnd w:id="0"/>
    </w:p>
    <w:p>
      <w:pPr>
        <w:spacing w:line="360" w:lineRule="auto"/>
        <w:ind w:firstLine="630" w:firstLineChars="300"/>
        <w:rPr>
          <w:rFonts w:hint="eastAsia"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(3)、苯、甲苯（μgC/g)＜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。</w:t>
      </w:r>
    </w:p>
    <w:p>
      <w:pPr>
        <w:spacing w:line="360" w:lineRule="auto"/>
        <w:ind w:firstLine="630" w:firstLineChars="300"/>
        <w:rPr>
          <w:rFonts w:hint="default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(4)、二甲苯（μgC/g)＜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15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。</w:t>
      </w:r>
    </w:p>
    <w:p>
      <w:pPr>
        <w:spacing w:line="360" w:lineRule="auto"/>
        <w:ind w:left="420" w:leftChars="150" w:hanging="105" w:hangingChars="50"/>
        <w:rPr>
          <w:rFonts w:hint="eastAsia"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、材料气味符合XMQQ 001 非金属内饰材料气味散发性标准及试验方法，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u w:val="single"/>
          <w:lang w:val="en-US" w:eastAsia="zh-CN"/>
        </w:rPr>
        <w:t>23±2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</w:rPr>
        <w:t>℃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时气味等级≤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，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u w:val="single"/>
          <w:lang w:val="en-US" w:eastAsia="zh-CN"/>
        </w:rPr>
        <w:t>80±2</w:t>
      </w:r>
      <w:r>
        <w:rPr>
          <w:rFonts w:hint="eastAsia" w:asciiTheme="majorEastAsia" w:hAnsiTheme="majorEastAsia" w:eastAsiaTheme="majorEastAsia" w:cstheme="majorEastAsia"/>
          <w:color w:val="auto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</w:rPr>
        <w:t>℃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时气味等级≤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3.5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。</w:t>
      </w:r>
    </w:p>
    <w:p>
      <w:pPr>
        <w:spacing w:line="360" w:lineRule="auto"/>
        <w:ind w:left="420" w:leftChars="150" w:hanging="105" w:hangingChars="50"/>
        <w:rPr>
          <w:rFonts w:hint="eastAsia" w:asciiTheme="majorEastAsia" w:hAnsiTheme="majorEastAsia" w:eastAsiaTheme="majorEastAsia" w:cstheme="majorEastAsia"/>
          <w:color w:val="auto"/>
          <w:szCs w:val="21"/>
          <w:u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、产品材料组成：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80%的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eastAsia="zh-CN"/>
        </w:rPr>
        <w:t>杨木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+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eastAsia="zh-CN"/>
        </w:rPr>
        <w:t>桉木、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10%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eastAsia="zh-CN"/>
        </w:rPr>
        <w:t>酚醛树脂胶、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>10%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eastAsia="zh-CN"/>
        </w:rPr>
        <w:t>酚醛树脂胶膜纸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>板材</w:t>
      </w:r>
      <w:r>
        <w:rPr>
          <w:rFonts w:hint="eastAsia" w:asciiTheme="majorEastAsia" w:hAnsiTheme="majorEastAsia" w:eastAsiaTheme="majorEastAsia" w:cstheme="majorEastAsia"/>
          <w:color w:val="auto"/>
          <w:kern w:val="0"/>
          <w:lang w:val="en-US" w:eastAsia="zh-CN"/>
        </w:rPr>
        <w:t>背后（接触车外部分）需覆膜，材质符合下述耐盐雾腐蚀性能；</w:t>
      </w:r>
    </w:p>
    <w:p>
      <w:pPr>
        <w:spacing w:line="360" w:lineRule="auto"/>
        <w:ind w:left="420" w:leftChars="150" w:hanging="105" w:hangingChars="50"/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10、物料尺寸：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u w:val="single"/>
          <w:lang w:val="en-US" w:eastAsia="zh-CN"/>
        </w:rPr>
        <w:t xml:space="preserve"> 状态1：915*2440*12、状态2：1220*2440*12 1450*2440*12 （长*宽*高-单位mm）</w:t>
      </w:r>
    </w:p>
    <w:p>
      <w:pPr>
        <w:spacing w:line="360" w:lineRule="auto"/>
        <w:ind w:left="420" w:leftChars="150" w:hanging="105" w:hangingChars="50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>11、防滑板尺寸和公差应符合以下要求：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 xml:space="preserve">   1）宽度及长度尺寸控制符合图纸，长度公差为[0,+5],宽度公差为[0,+5],用钢板尺测 量，精确至1mm。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 xml:space="preserve">   2）直线部分直线度小于1mm,  检测时将两块板边缘靠紧后最大间隙小于2mm,  用钢板尺 检测，精确至0.5mm。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 xml:space="preserve">   3）厚度公差为用游标卡尺检测8个点如下图，取平均值，平均值在公差范围内，精确到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>0.1mm。</w:t>
      </w:r>
    </w:p>
    <w:tbl>
      <w:tblPr>
        <w:tblStyle w:val="9"/>
        <w:tblW w:w="9698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8"/>
        <w:gridCol w:w="3192"/>
        <w:gridCol w:w="32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218" w:type="dxa"/>
            <w:vAlign w:val="top"/>
          </w:tcPr>
          <w:p>
            <w:pPr>
              <w:pStyle w:val="8"/>
              <w:spacing w:before="20" w:line="219" w:lineRule="auto"/>
              <w:ind w:left="54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板材厚度</w:t>
            </w:r>
          </w:p>
        </w:tc>
        <w:tc>
          <w:tcPr>
            <w:tcW w:w="3192" w:type="dxa"/>
            <w:vAlign w:val="top"/>
          </w:tcPr>
          <w:p>
            <w:pPr>
              <w:pStyle w:val="8"/>
              <w:spacing w:before="14" w:line="222" w:lineRule="auto"/>
              <w:ind w:left="33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4"/>
                <w:sz w:val="18"/>
                <w:szCs w:val="18"/>
              </w:rPr>
              <w:t>公差</w:t>
            </w:r>
          </w:p>
        </w:tc>
        <w:tc>
          <w:tcPr>
            <w:tcW w:w="3288" w:type="dxa"/>
            <w:vAlign w:val="top"/>
          </w:tcPr>
          <w:p>
            <w:pPr>
              <w:pStyle w:val="8"/>
              <w:spacing w:before="11" w:line="219" w:lineRule="auto"/>
              <w:ind w:left="47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最小厚度要求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18" w:type="dxa"/>
            <w:vAlign w:val="top"/>
          </w:tcPr>
          <w:p>
            <w:pPr>
              <w:pStyle w:val="8"/>
              <w:spacing w:before="36"/>
              <w:ind w:left="54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10mm</w:t>
            </w:r>
          </w:p>
        </w:tc>
        <w:tc>
          <w:tcPr>
            <w:tcW w:w="3192" w:type="dxa"/>
            <w:vAlign w:val="top"/>
          </w:tcPr>
          <w:p>
            <w:pPr>
              <w:pStyle w:val="8"/>
              <w:spacing w:before="78" w:line="216" w:lineRule="auto"/>
              <w:ind w:left="33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18"/>
                <w:szCs w:val="18"/>
              </w:rPr>
              <w:t>[0,+1]</w:t>
            </w:r>
          </w:p>
        </w:tc>
        <w:tc>
          <w:tcPr>
            <w:tcW w:w="3288" w:type="dxa"/>
            <w:vAlign w:val="top"/>
          </w:tcPr>
          <w:p>
            <w:pPr>
              <w:pStyle w:val="8"/>
              <w:spacing w:before="10" w:line="219" w:lineRule="auto"/>
              <w:ind w:left="47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最小厚度不低于10mm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3218" w:type="dxa"/>
            <w:vAlign w:val="top"/>
          </w:tcPr>
          <w:p>
            <w:pPr>
              <w:pStyle w:val="8"/>
              <w:spacing w:before="49" w:line="241" w:lineRule="auto"/>
              <w:ind w:left="54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12mm</w:t>
            </w:r>
          </w:p>
        </w:tc>
        <w:tc>
          <w:tcPr>
            <w:tcW w:w="3192" w:type="dxa"/>
            <w:vAlign w:val="top"/>
          </w:tcPr>
          <w:p>
            <w:pPr>
              <w:pStyle w:val="8"/>
              <w:spacing w:before="81" w:line="216" w:lineRule="auto"/>
              <w:ind w:left="33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  <w:t>[-0.7,+0.5]</w:t>
            </w:r>
          </w:p>
        </w:tc>
        <w:tc>
          <w:tcPr>
            <w:tcW w:w="3288" w:type="dxa"/>
            <w:vAlign w:val="top"/>
          </w:tcPr>
          <w:p>
            <w:pPr>
              <w:pStyle w:val="8"/>
              <w:spacing w:before="23" w:line="219" w:lineRule="auto"/>
              <w:ind w:left="47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最小厚度不低于11.3mm</w:t>
            </w:r>
          </w:p>
        </w:tc>
      </w:tr>
    </w:tbl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</w:rPr>
      </w:pPr>
      <w:r>
        <w:rPr>
          <w:rFonts w:hint="eastAsia" w:asciiTheme="majorEastAsia" w:hAnsiTheme="majorEastAsia" w:eastAsiaTheme="majorEastAsia" w:cstheme="majorEastAsia"/>
          <w:color w:val="auto"/>
        </w:rPr>
        <w:drawing>
          <wp:inline distT="0" distB="0" distL="114300" distR="114300">
            <wp:extent cx="3380740" cy="2647315"/>
            <wp:effectExtent l="0" t="0" r="10160" b="6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074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</w:p>
    <w:p>
      <w:pPr>
        <w:spacing w:line="360" w:lineRule="auto"/>
        <w:ind w:firstLine="420" w:firstLineChars="200"/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u w:val="none"/>
          <w:lang w:val="en-US" w:eastAsia="zh-CN"/>
        </w:rPr>
        <w:t>4）胶合板翘曲度应不超过1%</w:t>
      </w:r>
    </w:p>
    <w:p>
      <w:pPr>
        <w:numPr>
          <w:ilvl w:val="0"/>
          <w:numId w:val="4"/>
        </w:numPr>
        <w:spacing w:line="360" w:lineRule="auto"/>
        <w:rPr>
          <w:rFonts w:hint="eastAsia" w:asciiTheme="majorEastAsia" w:hAnsiTheme="majorEastAsia" w:eastAsiaTheme="majorEastAsia" w:cstheme="majorEastAsia"/>
          <w:color w:val="auto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lang w:val="en-US" w:eastAsia="zh-CN"/>
        </w:rPr>
        <w:t>防滑板两对角线长度之差值符合表3的规定，检测时用钢卷尺，精确1mm</w:t>
      </w:r>
    </w:p>
    <w:p>
      <w:pPr>
        <w:numPr>
          <w:ilvl w:val="0"/>
          <w:numId w:val="0"/>
        </w:numPr>
        <w:spacing w:line="360" w:lineRule="auto"/>
        <w:ind w:firstLine="2520" w:firstLineChars="1200"/>
        <w:rPr>
          <w:rFonts w:hint="eastAsia" w:asciiTheme="majorEastAsia" w:hAnsiTheme="majorEastAsia" w:eastAsiaTheme="majorEastAsia" w:cstheme="majorEastAsia"/>
          <w:color w:val="auto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表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防滑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板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的对角线公差要求</w:t>
      </w:r>
    </w:p>
    <w:tbl>
      <w:tblPr>
        <w:tblStyle w:val="4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5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934" w:type="dxa"/>
            <w:vAlign w:val="center"/>
          </w:tcPr>
          <w:p>
            <w:pPr>
              <w:pStyle w:val="8"/>
              <w:spacing w:before="3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对角线长度</w:t>
            </w:r>
          </w:p>
        </w:tc>
        <w:tc>
          <w:tcPr>
            <w:tcW w:w="5646" w:type="dxa"/>
            <w:vAlign w:val="center"/>
          </w:tcPr>
          <w:p>
            <w:pPr>
              <w:pStyle w:val="8"/>
              <w:spacing w:before="40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  <w:t>允许值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4" w:type="dxa"/>
            <w:vAlign w:val="center"/>
          </w:tcPr>
          <w:p>
            <w:pPr>
              <w:pStyle w:val="8"/>
              <w:spacing w:before="50" w:line="194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  <w:t>≤1500</w:t>
            </w:r>
          </w:p>
        </w:tc>
        <w:tc>
          <w:tcPr>
            <w:tcW w:w="5646" w:type="dxa"/>
            <w:vAlign w:val="center"/>
          </w:tcPr>
          <w:p>
            <w:pPr>
              <w:pStyle w:val="8"/>
              <w:spacing w:before="50" w:line="194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6"/>
                <w:sz w:val="18"/>
                <w:szCs w:val="18"/>
              </w:rPr>
              <w:t>≤3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934" w:type="dxa"/>
            <w:vAlign w:val="center"/>
          </w:tcPr>
          <w:p>
            <w:pPr>
              <w:pStyle w:val="8"/>
              <w:spacing w:before="54" w:line="201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&gt;1500~2500</w:t>
            </w:r>
          </w:p>
        </w:tc>
        <w:tc>
          <w:tcPr>
            <w:tcW w:w="5646" w:type="dxa"/>
            <w:vAlign w:val="center"/>
          </w:tcPr>
          <w:p>
            <w:pPr>
              <w:pStyle w:val="8"/>
              <w:spacing w:before="53" w:line="203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6"/>
                <w:sz w:val="18"/>
                <w:szCs w:val="18"/>
              </w:rPr>
              <w:t>≤4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2934" w:type="dxa"/>
            <w:vAlign w:val="center"/>
          </w:tcPr>
          <w:p>
            <w:pPr>
              <w:pStyle w:val="8"/>
              <w:spacing w:before="57" w:line="19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&gt;2500</w:t>
            </w:r>
          </w:p>
        </w:tc>
        <w:tc>
          <w:tcPr>
            <w:tcW w:w="5646" w:type="dxa"/>
            <w:vAlign w:val="center"/>
          </w:tcPr>
          <w:p>
            <w:pPr>
              <w:pStyle w:val="8"/>
              <w:spacing w:before="56" w:line="192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6"/>
                <w:sz w:val="18"/>
                <w:szCs w:val="18"/>
              </w:rPr>
              <w:t>≤5</w:t>
            </w:r>
          </w:p>
        </w:tc>
      </w:tr>
    </w:tbl>
    <w:p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防滑板理化性能需满足表4要求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 xml:space="preserve">                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表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防滑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板的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理化性能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要求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770"/>
        <w:gridCol w:w="975"/>
        <w:gridCol w:w="2610"/>
        <w:gridCol w:w="2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项目</w:t>
            </w:r>
          </w:p>
        </w:tc>
        <w:tc>
          <w:tcPr>
            <w:tcW w:w="77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单位</w:t>
            </w:r>
          </w:p>
        </w:tc>
        <w:tc>
          <w:tcPr>
            <w:tcW w:w="975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规定值</w:t>
            </w:r>
          </w:p>
        </w:tc>
        <w:tc>
          <w:tcPr>
            <w:tcW w:w="261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试验方法</w:t>
            </w:r>
          </w:p>
        </w:tc>
        <w:tc>
          <w:tcPr>
            <w:tcW w:w="2459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判定标准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含水率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pacing w:before="42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%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pacing w:before="42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6～10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pacing w:before="42" w:line="240" w:lineRule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依据 GB/T 17657-2013《人造板及饰面人造板理化性能试验方法》4.3 条：随机选取 3 块样品，每块样品在距边缘 25mm 处截取 20mm×20mm× 板材全厚的试样，在 103±2℃烘箱中烘干至恒重，计算含水率（含水率 =（烘干前质量 - 烘干后质量）/ 烘干前质量 ×100%）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pacing w:before="42" w:line="240" w:lineRule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1. 初始测试结果在 6%～10% 范围内，判定合格；超出范围则不合格；2. 经高低温交变、水浸 - 干燥等环境试验后，含水率变化量≤±1.5%，且最终值仍在 6%～10% 范围内，判定合格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静曲强度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纵向(板长方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18"/>
                <w:szCs w:val="18"/>
              </w:rPr>
              <w:t>向</w:t>
            </w:r>
            <w:r>
              <w:rPr>
                <w:rFonts w:hint="eastAsia" w:ascii="宋体" w:hAnsi="宋体" w:eastAsia="宋体" w:cs="宋体"/>
                <w:color w:val="auto"/>
                <w:spacing w:val="-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18"/>
                <w:szCs w:val="18"/>
              </w:rPr>
              <w:t>)</w:t>
            </w:r>
          </w:p>
        </w:tc>
        <w:tc>
          <w:tcPr>
            <w:tcW w:w="77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MPa</w:t>
            </w:r>
          </w:p>
        </w:tc>
        <w:tc>
          <w:tcPr>
            <w:tcW w:w="975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≥40</w:t>
            </w:r>
          </w:p>
        </w:tc>
        <w:tc>
          <w:tcPr>
            <w:tcW w:w="261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依据GB/T 17657-2013 4.9 条：采用 3 点弯曲试验，试样尺寸为（24h+50）mm×50mm× 板材全厚（h为板材厚度），跨距为20h，加载速度为 5mm/min，记录最大载荷，计算静曲强度（σ=3FL/2bh²，F 为最大载荷，L为跨距，b为试样宽度，h为试样厚度）</w:t>
            </w:r>
          </w:p>
        </w:tc>
        <w:tc>
          <w:tcPr>
            <w:tcW w:w="2459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1. 初始测试结果≥40MPa，判定合格；＜40MPa 则不合格；2. 经高低温交变试验后，强度保留率≥85%（保留率 =（试验后强度平均值 / 初始强度平均值）×100%），且试验后强度≥34MPa，判定合格；3. 经水浸 - 干燥试验后，强度保留率≥80%，且试验后强度≥32MPa，判定合格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静曲强度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横向(板宽方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18"/>
                <w:szCs w:val="18"/>
              </w:rPr>
              <w:t>向</w:t>
            </w:r>
            <w:r>
              <w:rPr>
                <w:rFonts w:hint="eastAsia" w:ascii="宋体" w:hAnsi="宋体" w:eastAsia="宋体" w:cs="宋体"/>
                <w:color w:val="auto"/>
                <w:spacing w:val="-14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0"/>
                <w:sz w:val="18"/>
                <w:szCs w:val="18"/>
              </w:rPr>
              <w:t>)</w:t>
            </w:r>
          </w:p>
        </w:tc>
        <w:tc>
          <w:tcPr>
            <w:tcW w:w="77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MPa</w:t>
            </w:r>
          </w:p>
        </w:tc>
        <w:tc>
          <w:tcPr>
            <w:tcW w:w="975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≥30</w:t>
            </w:r>
          </w:p>
        </w:tc>
        <w:tc>
          <w:tcPr>
            <w:tcW w:w="261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同纵向静曲强度试验方法，试样尺寸及加载参数一致，仅测试方向为板宽方向</w:t>
            </w:r>
          </w:p>
        </w:tc>
        <w:tc>
          <w:tcPr>
            <w:tcW w:w="2459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1. 初始测试结果≥30MPa，判定合格；＜30MPa 则不合格；2. 经高低温交变试验后，强度保留率≥85%，且试验后强度≥25.5MPa，判定合格；3. 经水浸 - 干燥试验后，强度保留率≥80%，且试验后强度≥24MPa，判定合格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3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弹性模量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12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MPa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75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4.0×10³MPa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75" w:line="240" w:lineRule="auto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依据 GB/T 17657-2013 4.9 条：在静曲强度试验过程中，记录载荷 - 挠度曲线，取比例极限段计算弹性模量（E=L³ΔF/4bh³Δf，ΔF 为比例极限内的载荷增量，Δf 为对应载荷增量的挠度增量）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75" w:line="240" w:lineRule="auto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1. 初始测试结果≥4.0×10³MPa，判定合格；＜4.0×10³MPa 则不合格；2. 经高低温交变、水浸 - 干燥等环境试验后，弹性模量保留率≥80%，且试验后值≥3.2×10³MPa，判定合格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180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浸渍剥离性能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202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mm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19" w:line="240" w:lineRule="auto"/>
              <w:ind w:right="199" w:righ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剥离或分层同层累积长度≤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25mm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19" w:line="240" w:lineRule="auto"/>
              <w:ind w:right="199" w:rightChars="0"/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依据 GB/T 17657-2013 4.19 条：试样尺寸为 75mm×25mm× 板材全厚，将试样浸入（70±2）℃的水中 2h 后，取出置于（60±3）℃烘箱中干燥 2h，重复 3 次循环后，观察剥离情况，测量同层剥离累积长度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19" w:line="240" w:lineRule="auto"/>
              <w:ind w:right="199" w:rightChars="0"/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1. 初始测试同层剥离累积长度≤25mm，判定合格；＞25mm 则不合格；2. 经耐盐雾、耐化学介质试验后，剥离长度增长值≤5mm，且总长度≤30mm，判定合格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1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耐高低温性能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74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-40~80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52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无裂纹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52" w:line="240" w:lineRule="auto"/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依据 GB/T 1039-2008《塑料 力学性能试验方法总则》附录 A：选取 3 块 100mm×100mm× 板材全厚的试样，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四角距离边缘10mm处各固定一个M4*30沉头自攻螺钉，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分别置于 - 40℃低温箱中保温 4h，取出恢复至室温后观察；再置于 80℃高温箱中保温 4h，取出恢复至室温后观察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52" w:line="240" w:lineRule="auto"/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1. 单次高低温处理后无裂纹、变形、分层，判定合格；出现任意一项缺陷则不合格；2. 经 10 次高低温交变循环后，仍无上述缺陷，且尺寸变化率符合要求，判定合格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18"/>
                <w:szCs w:val="18"/>
              </w:rPr>
              <w:t>单次高低温处理后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18"/>
                <w:szCs w:val="18"/>
                <w:lang w:val="en-US" w:eastAsia="zh-CN"/>
              </w:rPr>
              <w:t>按静曲强度要求施加静态载荷，观察无开裂、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18"/>
                <w:szCs w:val="18"/>
              </w:rPr>
              <w:t>变形、分层，判定合格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62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冲击韧性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61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KJ/m2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84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≥18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84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依据 GB/T 17657-2013 4.13 条：采用简支梁冲击试验，试样尺寸为 80mm×15mm× 板材全厚，无缺口，冲击能量为 2J，测试纵向冲击韧性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84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1. 初始测试结果≥18KJ/m²，判定合格；＜18KJ/m² 则不合格；2. 经高低温交变试验后，冲击韧性保留率≥80%，且试验后值≥14.4KJ/m²，判定合格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64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胶合强度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22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MPa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85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≥0.9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85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依据 GB/T 17657-2013 4.12 条：试样尺寸为 50mm×50mm× 板材全厚，采用木材胶黏剂拉伸剪切试验方法，加载速度为 1mm/min，记录破坏载荷，计算胶合强度（σ=F/A，F 为破坏载荷，A 为粘结面积）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85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1. 初始测试结果≥0.9MPa，判定合格；＜0.9MPa 则不合格；2. 经高低温交变试验后，胶合强度保留率≥80%，且试验后值≥0.72MPa，判定合格；3. 经水浸 - 干燥试验后，胶合强度保留率≥75%，且试验后值≥0.675MPa，判定合格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5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水浸-干燥静曲强度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14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MPa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≥30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依据 GB/T 13123-2008《竹编胶合板》7.4 条：试样尺寸同静曲强度试验，将试样浸入（20±2）℃水中 24h 后，取出在（60±3）℃烘箱中干燥至恒重，进行 3 点弯曲试验，计算静曲强度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1. 初始测试结果≥30MPa，判定合格；＜30MPa 则不合格；2. 经 5 次水浸 - 干燥循环后，强度保留率≥75%，且试验后值≥22.5MPa，判定合格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5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耐盐雾腐蚀性能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14" w:line="240" w:lineRule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1000h 无明显腐蚀、分层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依据 GB/T 10125-2021《人造气氛腐蚀试验 盐雾试验》：选取 3 块 100mm×100mm× 板材全厚的试样，进行中性盐雾试验（5% NaCl 溶液，温度 35℃，连续喷雾 1000h），试验后取出冲洗、干燥，观察外观及结构完整性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1. 试验后无明显腐蚀、分层、鼓泡，判定合格；出现任意一项缺陷则不合格；2. 表面色差 ΔE≤2.0（依据 GB/T 22460-2008《塑料 色差测量》），判定合格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5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抗疲劳性能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14" w:line="240" w:lineRule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10⁶次循环加载无破损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依据 GB/T 16491-2008《电子万能试验机》：采用三点弯曲疲劳试验，试样尺寸同静曲强度试验，加载载荷为静曲强度的 30%，频率 10Hz，循环次数 10⁶次，试验后观察试样状态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1. 试验后无破损、分层、明显变形，判定合格；出现任意一项缺陷则不合格；2. 疲劳试验后静曲强度保留率≥75%，判定合格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5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防滑性能（干态 / 湿态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14" w:line="240" w:lineRule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BPN</w:t>
            </w: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干态≥60，湿态≥50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依据 GB/T 24508-2023《汽车轮胎湿路面抓着性能试验方法》适配调整：采用摆式摩擦系数测定仪，在板材表面干态（无水分）和湿态（喷洒少量清水，表面形成水膜）条件下，分别测试 5 个不同点位，取平均值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1. 初始测试干态 BPN≥60、湿态 BPN≥50，判定合格；任意一项不满足则不合格；2. 经 10000 次耐磨试验后，干态 BPN≥55、湿态 BPN≥45，判定合格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5" w:line="240" w:lineRule="auto"/>
              <w:ind w:left="65" w:leftChars="0"/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耐化学介质性能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14" w:line="240" w:lineRule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无明显变色、鼓泡、开裂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选取 3 块 50mm×50mm× 板材全厚的试样，分别浸泡在柴油（客车常用燃料）、5% NaOH 溶液（模拟碱性污染物）、5% HCl 溶液（模拟酸性污染物）中，常温浸泡 48h 后，取出冲洗、干燥，观察外观变化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1. 试验后无明显变色、鼓泡、开裂、溶胀，判定合格；出现任意一项缺陷则不合格；2. 尺寸变化率≤±0.8%，质量变化率≤±2.0%，判定合格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top"/>
          </w:tcPr>
          <w:p>
            <w:pPr>
              <w:pStyle w:val="8"/>
              <w:snapToGrid w:val="0"/>
              <w:spacing w:before="55" w:line="240" w:lineRule="auto"/>
              <w:ind w:left="65" w:leftChars="0"/>
              <w:rPr>
                <w:rFonts w:hint="default" w:ascii="宋体" w:hAnsi="宋体" w:eastAsia="宋体" w:cs="宋体"/>
                <w:color w:val="auto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  <w:lang w:val="en-US" w:eastAsia="zh-CN"/>
              </w:rPr>
              <w:t>耐污染性能</w:t>
            </w:r>
          </w:p>
        </w:tc>
        <w:tc>
          <w:tcPr>
            <w:tcW w:w="770" w:type="dxa"/>
            <w:vAlign w:val="top"/>
          </w:tcPr>
          <w:p>
            <w:pPr>
              <w:pStyle w:val="8"/>
              <w:snapToGrid w:val="0"/>
              <w:spacing w:before="114" w:line="240" w:lineRule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975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default" w:ascii="宋体" w:hAnsi="宋体" w:eastAsia="宋体" w:cs="宋体"/>
                <w:color w:val="auto"/>
                <w:spacing w:val="-8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  <w:lang w:val="en-US" w:eastAsia="zh-CN"/>
              </w:rPr>
              <w:t>5级要求</w:t>
            </w:r>
          </w:p>
        </w:tc>
        <w:tc>
          <w:tcPr>
            <w:tcW w:w="2610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default" w:ascii="宋体" w:hAnsi="宋体" w:eastAsia="宋体" w:cs="宋体"/>
                <w:color w:val="auto"/>
                <w:spacing w:val="-8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依据《GB/T 17657-人造板及饰面人造板理化性能实验方法》</w:t>
            </w: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  <w:lang w:val="en-US" w:eastAsia="zh-CN"/>
              </w:rPr>
              <w:t>4.40</w:t>
            </w: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</w:rPr>
              <w:t>表面耐污染性能测定</w:t>
            </w: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  <w:lang w:val="en-US" w:eastAsia="zh-CN"/>
              </w:rPr>
              <w:t>-方法1</w:t>
            </w:r>
          </w:p>
        </w:tc>
        <w:tc>
          <w:tcPr>
            <w:tcW w:w="2459" w:type="dxa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default" w:ascii="宋体" w:hAnsi="宋体" w:eastAsia="宋体" w:cs="宋体"/>
                <w:color w:val="auto"/>
                <w:spacing w:val="-8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8"/>
                <w:szCs w:val="18"/>
                <w:lang w:val="en-US" w:eastAsia="zh-CN"/>
              </w:rPr>
              <w:t>5级要求:无明显变化要求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9" w:type="dxa"/>
            <w:gridSpan w:val="5"/>
            <w:vAlign w:val="top"/>
          </w:tcPr>
          <w:p>
            <w:pPr>
              <w:pStyle w:val="8"/>
              <w:snapToGrid w:val="0"/>
              <w:spacing w:before="78"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注：弹性模量、冲击韧性均为纵向，即板长方向；浸渍剥离性能按照GB/T 17657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4.19中的方法测定，水浸-干燥静曲强度采用(GB/T 13123第7.4条检测方法)。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Chars="0"/>
        <w:textAlignment w:val="auto"/>
        <w:outlineLvl w:val="9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firstLine="0" w:firstLineChars="0"/>
        <w:textAlignment w:val="auto"/>
        <w:outlineLvl w:val="9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防滑板阻燃性能需满足表5、表6中关于铺地材料中对于地板基材、行李舱覆盖物的阻燃要求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9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 xml:space="preserve">                   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表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GB-38262内饰材料阻燃要求</w:t>
      </w:r>
    </w:p>
    <w:tbl>
      <w:tblPr>
        <w:tblStyle w:val="9"/>
        <w:tblW w:w="80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1280"/>
        <w:gridCol w:w="1344"/>
        <w:gridCol w:w="969"/>
        <w:gridCol w:w="1423"/>
        <w:gridCol w:w="894"/>
        <w:gridCol w:w="924"/>
        <w:gridCol w:w="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tblHeader/>
          <w:jc w:val="center"/>
        </w:trPr>
        <w:tc>
          <w:tcPr>
            <w:tcW w:w="404" w:type="dxa"/>
            <w:vMerge w:val="restart"/>
            <w:tcBorders>
              <w:bottom w:val="nil"/>
            </w:tcBorders>
            <w:vAlign w:val="center"/>
          </w:tcPr>
          <w:p>
            <w:pPr>
              <w:pStyle w:val="8"/>
              <w:snapToGrid w:val="0"/>
              <w:spacing w:before="52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  <w:t>类别号</w:t>
            </w:r>
          </w:p>
        </w:tc>
        <w:tc>
          <w:tcPr>
            <w:tcW w:w="2624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pStyle w:val="8"/>
              <w:snapToGrid w:val="0"/>
              <w:spacing w:before="52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  <w:t>应用材料</w:t>
            </w:r>
          </w:p>
        </w:tc>
        <w:tc>
          <w:tcPr>
            <w:tcW w:w="5052" w:type="dxa"/>
            <w:gridSpan w:val="5"/>
            <w:vAlign w:val="center"/>
          </w:tcPr>
          <w:p>
            <w:pPr>
              <w:pStyle w:val="8"/>
              <w:snapToGrid w:val="0"/>
              <w:spacing w:before="79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-3"/>
                <w:sz w:val="18"/>
                <w:szCs w:val="18"/>
              </w:rPr>
              <w:t>技术要求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tblHeader/>
          <w:jc w:val="center"/>
        </w:trPr>
        <w:tc>
          <w:tcPr>
            <w:tcW w:w="404" w:type="dxa"/>
            <w:vMerge w:val="continue"/>
            <w:tcBorders>
              <w:top w:val="nil"/>
            </w:tcBorders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</w:p>
        </w:tc>
        <w:tc>
          <w:tcPr>
            <w:tcW w:w="2624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>
            <w:pPr>
              <w:pStyle w:val="8"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  <w:t>水平燃烧/</w:t>
            </w:r>
          </w:p>
          <w:p>
            <w:pPr>
              <w:pStyle w:val="8"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4"/>
                <w:sz w:val="18"/>
                <w:szCs w:val="18"/>
              </w:rPr>
              <w:t>(mm/min)</w:t>
            </w:r>
          </w:p>
        </w:tc>
        <w:tc>
          <w:tcPr>
            <w:tcW w:w="1423" w:type="dxa"/>
            <w:vAlign w:val="center"/>
          </w:tcPr>
          <w:p>
            <w:pPr>
              <w:pStyle w:val="8"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  <w:t>垂直燃烧/</w:t>
            </w:r>
          </w:p>
          <w:p>
            <w:pPr>
              <w:pStyle w:val="8"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4"/>
                <w:sz w:val="18"/>
                <w:szCs w:val="18"/>
              </w:rPr>
              <w:t>(mm/min)</w:t>
            </w:r>
          </w:p>
        </w:tc>
        <w:tc>
          <w:tcPr>
            <w:tcW w:w="894" w:type="dxa"/>
            <w:vAlign w:val="center"/>
          </w:tcPr>
          <w:p>
            <w:pPr>
              <w:pStyle w:val="8"/>
              <w:snapToGrid w:val="0"/>
              <w:spacing w:before="225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  <w:t>氧指数/%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snapToGrid w:val="0"/>
              <w:spacing w:before="226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2"/>
                <w:sz w:val="18"/>
                <w:szCs w:val="18"/>
              </w:rPr>
              <w:t>烟密度等级</w:t>
            </w:r>
          </w:p>
        </w:tc>
        <w:tc>
          <w:tcPr>
            <w:tcW w:w="842" w:type="dxa"/>
            <w:vAlign w:val="center"/>
          </w:tcPr>
          <w:p>
            <w:pPr>
              <w:pStyle w:val="8"/>
              <w:snapToGrid w:val="0"/>
              <w:spacing w:before="225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pacing w:val="-1"/>
                <w:sz w:val="18"/>
                <w:szCs w:val="18"/>
              </w:rPr>
              <w:t>燃烧性能等级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404" w:type="dxa"/>
            <w:vAlign w:val="center"/>
          </w:tcPr>
          <w:p>
            <w:pPr>
              <w:pStyle w:val="8"/>
              <w:snapToGrid w:val="0"/>
              <w:spacing w:before="83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2624" w:type="dxa"/>
            <w:gridSpan w:val="2"/>
            <w:vAlign w:val="center"/>
          </w:tcPr>
          <w:p>
            <w:pPr>
              <w:pStyle w:val="8"/>
              <w:snapToGrid w:val="0"/>
              <w:spacing w:before="66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18"/>
                <w:szCs w:val="18"/>
              </w:rPr>
              <w:t>内饰板材</w:t>
            </w:r>
          </w:p>
        </w:tc>
        <w:tc>
          <w:tcPr>
            <w:tcW w:w="969" w:type="dxa"/>
            <w:vAlign w:val="center"/>
          </w:tcPr>
          <w:p>
            <w:pPr>
              <w:pStyle w:val="8"/>
              <w:snapToGrid w:val="0"/>
              <w:spacing w:before="68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不低于B</w:t>
            </w:r>
          </w:p>
        </w:tc>
        <w:tc>
          <w:tcPr>
            <w:tcW w:w="1423" w:type="dxa"/>
            <w:vAlign w:val="center"/>
          </w:tcPr>
          <w:p>
            <w:pPr>
              <w:pStyle w:val="8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≤100</w:t>
            </w:r>
          </w:p>
        </w:tc>
        <w:tc>
          <w:tcPr>
            <w:tcW w:w="894" w:type="dxa"/>
            <w:vAlign w:val="center"/>
          </w:tcPr>
          <w:p>
            <w:pPr>
              <w:pStyle w:val="8"/>
              <w:snapToGrid w:val="0"/>
              <w:spacing w:before="143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3"/>
                <w:sz w:val="18"/>
                <w:szCs w:val="18"/>
              </w:rPr>
              <w:t>一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18"/>
                <w:szCs w:val="18"/>
              </w:rPr>
              <w:t>≤75</w:t>
            </w:r>
          </w:p>
        </w:tc>
        <w:tc>
          <w:tcPr>
            <w:tcW w:w="842" w:type="dxa"/>
            <w:vAlign w:val="center"/>
          </w:tcPr>
          <w:p>
            <w:pPr>
              <w:pStyle w:val="8"/>
              <w:snapToGrid w:val="0"/>
              <w:spacing w:before="143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3"/>
                <w:sz w:val="18"/>
                <w:szCs w:val="18"/>
              </w:rPr>
              <w:t>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404" w:type="dxa"/>
            <w:vMerge w:val="restart"/>
            <w:tcBorders>
              <w:bottom w:val="nil"/>
            </w:tcBorders>
            <w:vAlign w:val="center"/>
          </w:tcPr>
          <w:p>
            <w:pPr>
              <w:pStyle w:val="8"/>
              <w:snapToGrid w:val="0"/>
              <w:spacing w:before="52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1280" w:type="dxa"/>
            <w:vMerge w:val="restart"/>
            <w:tcBorders>
              <w:bottom w:val="nil"/>
            </w:tcBorders>
            <w:vAlign w:val="center"/>
          </w:tcPr>
          <w:p>
            <w:pPr>
              <w:pStyle w:val="8"/>
              <w:snapToGrid w:val="0"/>
              <w:spacing w:before="52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铺地材料</w:t>
            </w:r>
          </w:p>
        </w:tc>
        <w:tc>
          <w:tcPr>
            <w:tcW w:w="1344" w:type="dxa"/>
            <w:vAlign w:val="center"/>
          </w:tcPr>
          <w:p>
            <w:pPr>
              <w:pStyle w:val="8"/>
              <w:snapToGrid w:val="0"/>
              <w:spacing w:before="77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地板覆盖物</w:t>
            </w:r>
          </w:p>
        </w:tc>
        <w:tc>
          <w:tcPr>
            <w:tcW w:w="969" w:type="dxa"/>
            <w:vAlign w:val="center"/>
          </w:tcPr>
          <w:p>
            <w:pPr>
              <w:pStyle w:val="8"/>
              <w:snapToGrid w:val="0"/>
              <w:spacing w:before="94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A-0</w:t>
            </w:r>
          </w:p>
        </w:tc>
        <w:tc>
          <w:tcPr>
            <w:tcW w:w="1423" w:type="dxa"/>
            <w:vAlign w:val="center"/>
          </w:tcPr>
          <w:p>
            <w:pPr>
              <w:pStyle w:val="8"/>
              <w:snapToGrid w:val="0"/>
              <w:spacing w:before="169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3"/>
                <w:sz w:val="18"/>
                <w:szCs w:val="18"/>
              </w:rPr>
              <w:t>-</w:t>
            </w:r>
          </w:p>
        </w:tc>
        <w:tc>
          <w:tcPr>
            <w:tcW w:w="894" w:type="dxa"/>
            <w:vAlign w:val="center"/>
          </w:tcPr>
          <w:p>
            <w:pPr>
              <w:pStyle w:val="8"/>
              <w:snapToGrid w:val="0"/>
              <w:spacing w:before="94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6"/>
                <w:sz w:val="18"/>
                <w:szCs w:val="18"/>
              </w:rPr>
              <w:t>≥30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snapToGrid w:val="0"/>
              <w:spacing w:before="154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3"/>
                <w:sz w:val="18"/>
                <w:szCs w:val="18"/>
              </w:rPr>
              <w:t>一</w:t>
            </w:r>
          </w:p>
        </w:tc>
        <w:tc>
          <w:tcPr>
            <w:tcW w:w="842" w:type="dxa"/>
            <w:vAlign w:val="center"/>
          </w:tcPr>
          <w:p>
            <w:pPr>
              <w:pStyle w:val="8"/>
              <w:snapToGrid w:val="0"/>
              <w:spacing w:before="76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B₁ (B-sl,to)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404" w:type="dxa"/>
            <w:vMerge w:val="continue"/>
            <w:tcBorders>
              <w:top w:val="nil"/>
            </w:tcBorders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  <w:tc>
          <w:tcPr>
            <w:tcW w:w="1280" w:type="dxa"/>
            <w:vMerge w:val="continue"/>
            <w:tcBorders>
              <w:top w:val="nil"/>
            </w:tcBorders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>
            <w:pPr>
              <w:pStyle w:val="8"/>
              <w:snapToGrid w:val="0"/>
              <w:spacing w:before="109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地板基材，行李舱覆盖物</w:t>
            </w:r>
          </w:p>
        </w:tc>
        <w:tc>
          <w:tcPr>
            <w:tcW w:w="969" w:type="dxa"/>
            <w:vAlign w:val="center"/>
          </w:tcPr>
          <w:p>
            <w:pPr>
              <w:pStyle w:val="8"/>
              <w:snapToGrid w:val="0"/>
              <w:spacing w:before="230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不低于B</w:t>
            </w:r>
          </w:p>
        </w:tc>
        <w:tc>
          <w:tcPr>
            <w:tcW w:w="1423" w:type="dxa"/>
            <w:vAlign w:val="center"/>
          </w:tcPr>
          <w:p>
            <w:pPr>
              <w:pStyle w:val="8"/>
              <w:snapToGrid w:val="0"/>
              <w:spacing w:before="243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≤100</w:t>
            </w:r>
          </w:p>
        </w:tc>
        <w:tc>
          <w:tcPr>
            <w:tcW w:w="894" w:type="dxa"/>
            <w:vAlign w:val="center"/>
          </w:tcPr>
          <w:p>
            <w:pPr>
              <w:pStyle w:val="8"/>
              <w:snapToGrid w:val="0"/>
              <w:spacing w:before="245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6"/>
                <w:sz w:val="18"/>
                <w:szCs w:val="18"/>
              </w:rPr>
              <w:t>≥26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snapToGrid w:val="0"/>
              <w:spacing w:before="243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18"/>
                <w:szCs w:val="18"/>
              </w:rPr>
              <w:t>≤75</w:t>
            </w:r>
          </w:p>
        </w:tc>
        <w:tc>
          <w:tcPr>
            <w:tcW w:w="842" w:type="dxa"/>
            <w:vAlign w:val="center"/>
          </w:tcPr>
          <w:p>
            <w:pPr>
              <w:pStyle w:val="8"/>
              <w:snapToGrid w:val="0"/>
              <w:spacing w:before="52" w:line="240" w:lineRule="auto"/>
              <w:ind w:left="0" w:leftChars="0" w:right="0" w:rightChars="0" w:firstLine="0" w:firstLine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3"/>
                <w:sz w:val="18"/>
                <w:szCs w:val="18"/>
              </w:rPr>
              <w:t>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8080" w:type="dxa"/>
            <w:gridSpan w:val="8"/>
            <w:vAlign w:val="center"/>
          </w:tcPr>
          <w:p>
            <w:pPr>
              <w:pStyle w:val="8"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注：“一”该零件不进行此项试验，</w:t>
            </w:r>
          </w:p>
        </w:tc>
      </w:tr>
    </w:tbl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 xml:space="preserve">                            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表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JT-1095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内饰材料阻燃要求</w:t>
      </w:r>
    </w:p>
    <w:tbl>
      <w:tblPr>
        <w:tblStyle w:val="9"/>
        <w:tblpPr w:leftFromText="180" w:rightFromText="180" w:vertAnchor="text" w:horzAnchor="page" w:tblpXSpec="center" w:tblpY="293"/>
        <w:tblOverlap w:val="never"/>
        <w:tblW w:w="87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779"/>
        <w:gridCol w:w="1713"/>
        <w:gridCol w:w="715"/>
        <w:gridCol w:w="688"/>
        <w:gridCol w:w="538"/>
        <w:gridCol w:w="589"/>
        <w:gridCol w:w="501"/>
        <w:gridCol w:w="501"/>
        <w:gridCol w:w="458"/>
        <w:gridCol w:w="945"/>
        <w:gridCol w:w="8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397" w:type="dxa"/>
            <w:textDirection w:val="tbRlV"/>
            <w:vAlign w:val="center"/>
          </w:tcPr>
          <w:p>
            <w:pPr>
              <w:pStyle w:val="8"/>
              <w:spacing w:before="76" w:line="199" w:lineRule="auto"/>
              <w:ind w:left="2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应用材料</w:t>
            </w:r>
          </w:p>
        </w:tc>
        <w:tc>
          <w:tcPr>
            <w:tcW w:w="5811" w:type="dxa"/>
            <w:gridSpan w:val="9"/>
            <w:vAlign w:val="center"/>
          </w:tcPr>
          <w:p>
            <w:pPr>
              <w:pStyle w:val="8"/>
              <w:spacing w:before="36" w:line="305" w:lineRule="auto"/>
              <w:ind w:left="138" w:right="90" w:hanging="4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技术要求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397" w:type="dxa"/>
            <w:textDirection w:val="tbRlV"/>
            <w:vAlign w:val="center"/>
          </w:tcPr>
          <w:p>
            <w:pPr>
              <w:pStyle w:val="8"/>
              <w:spacing w:before="76" w:line="199" w:lineRule="auto"/>
              <w:ind w:left="2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序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9"/>
                <w:sz w:val="18"/>
                <w:szCs w:val="18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号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>
            <w:pPr>
              <w:pStyle w:val="8"/>
              <w:spacing w:before="259" w:line="219" w:lineRule="auto"/>
              <w:ind w:left="5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水平燃</w:t>
            </w:r>
          </w:p>
          <w:p>
            <w:pPr>
              <w:pStyle w:val="8"/>
              <w:spacing w:before="68" w:line="219" w:lineRule="auto"/>
              <w:ind w:left="16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烧</w:t>
            </w:r>
          </w:p>
          <w:p>
            <w:pPr>
              <w:pStyle w:val="8"/>
              <w:spacing w:before="53" w:line="224" w:lineRule="auto"/>
              <w:ind w:left="5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mm/min</w:t>
            </w:r>
          </w:p>
        </w:tc>
        <w:tc>
          <w:tcPr>
            <w:tcW w:w="688" w:type="dxa"/>
            <w:vAlign w:val="center"/>
          </w:tcPr>
          <w:p>
            <w:pPr>
              <w:pStyle w:val="8"/>
              <w:spacing w:before="183" w:line="225" w:lineRule="auto"/>
              <w:ind w:left="6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垂直燃烧</w:t>
            </w:r>
          </w:p>
          <w:p>
            <w:pPr>
              <w:pStyle w:val="8"/>
              <w:spacing w:before="63" w:line="224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mm/m</w:t>
            </w:r>
          </w:p>
          <w:p>
            <w:pPr>
              <w:pStyle w:val="8"/>
              <w:spacing w:before="34" w:line="241" w:lineRule="auto"/>
              <w:ind w:left="12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  <w:t>in</w:t>
            </w:r>
          </w:p>
        </w:tc>
        <w:tc>
          <w:tcPr>
            <w:tcW w:w="538" w:type="dxa"/>
            <w:vAlign w:val="center"/>
          </w:tcPr>
          <w:p>
            <w:pPr>
              <w:spacing w:line="321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  <w:p>
            <w:pPr>
              <w:pStyle w:val="8"/>
              <w:spacing w:before="35" w:line="219" w:lineRule="auto"/>
              <w:ind w:left="63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氧指数</w:t>
            </w:r>
          </w:p>
          <w:p>
            <w:pPr>
              <w:pStyle w:val="8"/>
              <w:spacing w:before="60"/>
              <w:ind w:left="203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%</w:t>
            </w:r>
          </w:p>
        </w:tc>
        <w:tc>
          <w:tcPr>
            <w:tcW w:w="589" w:type="dxa"/>
            <w:vAlign w:val="center"/>
          </w:tcPr>
          <w:p>
            <w:pPr>
              <w:pStyle w:val="8"/>
              <w:spacing w:before="270" w:line="221" w:lineRule="auto"/>
              <w:ind w:left="85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烟密</w:t>
            </w:r>
          </w:p>
          <w:p>
            <w:pPr>
              <w:pStyle w:val="8"/>
              <w:spacing w:before="47" w:line="307" w:lineRule="auto"/>
              <w:ind w:left="145" w:right="97" w:hanging="6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度等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 xml:space="preserve"> 级</w:t>
            </w:r>
          </w:p>
        </w:tc>
        <w:tc>
          <w:tcPr>
            <w:tcW w:w="501" w:type="dxa"/>
            <w:vAlign w:val="center"/>
          </w:tcPr>
          <w:p>
            <w:pPr>
              <w:pStyle w:val="8"/>
              <w:spacing w:before="268" w:line="219" w:lineRule="auto"/>
              <w:ind w:left="5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燃烧</w:t>
            </w:r>
          </w:p>
          <w:p>
            <w:pPr>
              <w:pStyle w:val="8"/>
              <w:spacing w:before="60" w:line="221" w:lineRule="auto"/>
              <w:ind w:left="5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性能</w:t>
            </w:r>
          </w:p>
          <w:p>
            <w:pPr>
              <w:pStyle w:val="8"/>
              <w:spacing w:before="37" w:line="219" w:lineRule="auto"/>
              <w:ind w:left="5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等级</w:t>
            </w:r>
          </w:p>
        </w:tc>
        <w:tc>
          <w:tcPr>
            <w:tcW w:w="501" w:type="dxa"/>
            <w:vAlign w:val="center"/>
          </w:tcPr>
          <w:p>
            <w:pPr>
              <w:pStyle w:val="8"/>
              <w:spacing w:before="269" w:line="219" w:lineRule="auto"/>
              <w:ind w:left="7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产烟</w:t>
            </w:r>
          </w:p>
        </w:tc>
        <w:tc>
          <w:tcPr>
            <w:tcW w:w="458" w:type="dxa"/>
            <w:vAlign w:val="center"/>
          </w:tcPr>
          <w:p>
            <w:pPr>
              <w:pStyle w:val="8"/>
              <w:spacing w:before="270" w:line="221" w:lineRule="auto"/>
              <w:ind w:left="8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烟气</w:t>
            </w:r>
          </w:p>
          <w:p>
            <w:pPr>
              <w:pStyle w:val="8"/>
              <w:spacing w:before="43" w:line="221" w:lineRule="auto"/>
              <w:ind w:left="8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毒性等级</w:t>
            </w:r>
          </w:p>
        </w:tc>
        <w:tc>
          <w:tcPr>
            <w:tcW w:w="945" w:type="dxa"/>
            <w:vAlign w:val="center"/>
          </w:tcPr>
          <w:p>
            <w:pPr>
              <w:spacing w:line="312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  <w:p>
            <w:pPr>
              <w:pStyle w:val="8"/>
              <w:spacing w:before="35" w:line="220" w:lineRule="auto"/>
              <w:ind w:left="167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熔融</w:t>
            </w:r>
          </w:p>
          <w:p>
            <w:pPr>
              <w:pStyle w:val="8"/>
              <w:spacing w:before="48" w:line="219" w:lineRule="auto"/>
              <w:ind w:left="167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特性</w:t>
            </w:r>
          </w:p>
        </w:tc>
        <w:tc>
          <w:tcPr>
            <w:tcW w:w="876" w:type="dxa"/>
            <w:vAlign w:val="center"/>
          </w:tcPr>
          <w:p>
            <w:pPr>
              <w:spacing w:line="332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  <w:p>
            <w:pPr>
              <w:pStyle w:val="8"/>
              <w:spacing w:before="36" w:line="305" w:lineRule="auto"/>
              <w:ind w:left="138" w:right="90" w:hanging="4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  <w:t>耐油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 xml:space="preserve"> 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97" w:type="dxa"/>
            <w:vMerge w:val="restart"/>
            <w:tcBorders>
              <w:bottom w:val="nil"/>
            </w:tcBorders>
            <w:vAlign w:val="center"/>
          </w:tcPr>
          <w:p>
            <w:pPr>
              <w:pStyle w:val="8"/>
              <w:spacing w:before="208" w:line="241" w:lineRule="auto"/>
              <w:ind w:left="8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center"/>
          </w:tcPr>
          <w:p>
            <w:pPr>
              <w:pStyle w:val="8"/>
              <w:spacing w:before="216" w:line="219" w:lineRule="auto"/>
              <w:ind w:left="7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铺地材</w:t>
            </w:r>
          </w:p>
          <w:p>
            <w:pPr>
              <w:pStyle w:val="8"/>
              <w:spacing w:before="20" w:line="220" w:lineRule="auto"/>
              <w:ind w:left="18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料</w:t>
            </w:r>
          </w:p>
        </w:tc>
        <w:tc>
          <w:tcPr>
            <w:tcW w:w="1713" w:type="dxa"/>
            <w:vAlign w:val="center"/>
          </w:tcPr>
          <w:p>
            <w:pPr>
              <w:pStyle w:val="8"/>
              <w:spacing w:before="56" w:line="219" w:lineRule="auto"/>
              <w:ind w:left="7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地板覆盖物</w:t>
            </w:r>
          </w:p>
        </w:tc>
        <w:tc>
          <w:tcPr>
            <w:tcW w:w="715" w:type="dxa"/>
            <w:vAlign w:val="center"/>
          </w:tcPr>
          <w:p>
            <w:pPr>
              <w:pStyle w:val="8"/>
              <w:spacing w:before="68" w:line="237" w:lineRule="auto"/>
              <w:ind w:left="131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A-0</w:t>
            </w:r>
          </w:p>
        </w:tc>
        <w:tc>
          <w:tcPr>
            <w:tcW w:w="688" w:type="dxa"/>
            <w:vAlign w:val="center"/>
          </w:tcPr>
          <w:p>
            <w:pPr>
              <w:pStyle w:val="8"/>
              <w:spacing w:before="109" w:line="85" w:lineRule="exact"/>
              <w:ind w:left="12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2"/>
                <w:sz w:val="18"/>
                <w:szCs w:val="18"/>
              </w:rPr>
              <w:t>一</w:t>
            </w:r>
          </w:p>
        </w:tc>
        <w:tc>
          <w:tcPr>
            <w:tcW w:w="538" w:type="dxa"/>
            <w:vAlign w:val="center"/>
          </w:tcPr>
          <w:p>
            <w:pPr>
              <w:pStyle w:val="8"/>
              <w:spacing w:before="68" w:line="237" w:lineRule="auto"/>
              <w:ind w:left="123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≥30</w:t>
            </w:r>
          </w:p>
        </w:tc>
        <w:tc>
          <w:tcPr>
            <w:tcW w:w="589" w:type="dxa"/>
            <w:vAlign w:val="center"/>
          </w:tcPr>
          <w:p>
            <w:pPr>
              <w:pStyle w:val="8"/>
              <w:spacing w:before="120" w:line="74" w:lineRule="exact"/>
              <w:ind w:left="16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2"/>
                <w:sz w:val="18"/>
                <w:szCs w:val="18"/>
              </w:rPr>
              <w:t>-</w:t>
            </w:r>
          </w:p>
        </w:tc>
        <w:tc>
          <w:tcPr>
            <w:tcW w:w="501" w:type="dxa"/>
            <w:vAlign w:val="center"/>
          </w:tcPr>
          <w:p>
            <w:pPr>
              <w:pStyle w:val="8"/>
              <w:spacing w:before="86" w:line="182" w:lineRule="auto"/>
              <w:ind w:left="85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B-B</w:t>
            </w:r>
          </w:p>
        </w:tc>
        <w:tc>
          <w:tcPr>
            <w:tcW w:w="501" w:type="dxa"/>
            <w:vAlign w:val="center"/>
          </w:tcPr>
          <w:p>
            <w:pPr>
              <w:pStyle w:val="8"/>
              <w:spacing w:before="81"/>
              <w:ind w:left="155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s1</w:t>
            </w:r>
          </w:p>
        </w:tc>
        <w:tc>
          <w:tcPr>
            <w:tcW w:w="458" w:type="dxa"/>
            <w:vAlign w:val="center"/>
          </w:tcPr>
          <w:p>
            <w:pPr>
              <w:pStyle w:val="8"/>
              <w:spacing w:before="68" w:line="237" w:lineRule="auto"/>
              <w:ind w:left="146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t0</w:t>
            </w:r>
          </w:p>
        </w:tc>
        <w:tc>
          <w:tcPr>
            <w:tcW w:w="945" w:type="dxa"/>
            <w:vAlign w:val="center"/>
          </w:tcPr>
          <w:p>
            <w:pPr>
              <w:pStyle w:val="8"/>
              <w:spacing w:before="109" w:line="85" w:lineRule="exact"/>
              <w:ind w:left="228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2"/>
                <w:sz w:val="18"/>
                <w:szCs w:val="18"/>
              </w:rPr>
              <w:t>一</w:t>
            </w:r>
          </w:p>
        </w:tc>
        <w:tc>
          <w:tcPr>
            <w:tcW w:w="876" w:type="dxa"/>
            <w:vAlign w:val="center"/>
          </w:tcPr>
          <w:p>
            <w:pPr>
              <w:spacing w:line="21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  <w:jc w:val="center"/>
        </w:trPr>
        <w:tc>
          <w:tcPr>
            <w:tcW w:w="39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>
            <w:pPr>
              <w:pStyle w:val="8"/>
              <w:spacing w:before="77" w:line="289" w:lineRule="auto"/>
              <w:ind w:left="120" w:right="82" w:hanging="6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地板基材、行李舱覆盖物</w:t>
            </w:r>
          </w:p>
        </w:tc>
        <w:tc>
          <w:tcPr>
            <w:tcW w:w="715" w:type="dxa"/>
            <w:vAlign w:val="center"/>
          </w:tcPr>
          <w:p>
            <w:pPr>
              <w:pStyle w:val="8"/>
              <w:spacing w:before="68" w:line="221" w:lineRule="auto"/>
              <w:ind w:left="52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不低于</w:t>
            </w:r>
          </w:p>
          <w:p>
            <w:pPr>
              <w:pStyle w:val="8"/>
              <w:spacing w:before="66" w:line="182" w:lineRule="auto"/>
              <w:ind w:left="181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B</w:t>
            </w:r>
          </w:p>
        </w:tc>
        <w:tc>
          <w:tcPr>
            <w:tcW w:w="688" w:type="dxa"/>
            <w:vAlign w:val="center"/>
          </w:tcPr>
          <w:p>
            <w:pPr>
              <w:pStyle w:val="8"/>
              <w:spacing w:before="107" w:line="266" w:lineRule="auto"/>
              <w:ind w:left="92" w:right="113" w:firstLine="3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2"/>
                <w:sz w:val="18"/>
                <w:szCs w:val="18"/>
              </w:rPr>
              <w:t>≤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18"/>
                <w:szCs w:val="18"/>
              </w:rPr>
              <w:t>100</w:t>
            </w:r>
          </w:p>
        </w:tc>
        <w:tc>
          <w:tcPr>
            <w:tcW w:w="538" w:type="dxa"/>
            <w:vAlign w:val="center"/>
          </w:tcPr>
          <w:p>
            <w:pPr>
              <w:pStyle w:val="8"/>
              <w:spacing w:before="188" w:line="237" w:lineRule="auto"/>
              <w:ind w:left="123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≥26</w:t>
            </w:r>
          </w:p>
        </w:tc>
        <w:tc>
          <w:tcPr>
            <w:tcW w:w="589" w:type="dxa"/>
            <w:vAlign w:val="center"/>
          </w:tcPr>
          <w:p>
            <w:pPr>
              <w:pStyle w:val="8"/>
              <w:spacing w:before="187" w:line="236" w:lineRule="auto"/>
              <w:ind w:left="85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18"/>
                <w:szCs w:val="18"/>
              </w:rPr>
              <w:t>≤75</w:t>
            </w:r>
          </w:p>
        </w:tc>
        <w:tc>
          <w:tcPr>
            <w:tcW w:w="501" w:type="dxa"/>
            <w:vAlign w:val="center"/>
          </w:tcPr>
          <w:p>
            <w:pPr>
              <w:pStyle w:val="8"/>
              <w:spacing w:before="223" w:line="47" w:lineRule="exact"/>
              <w:ind w:left="135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1"/>
                <w:sz w:val="18"/>
                <w:szCs w:val="18"/>
              </w:rPr>
              <w:t>一</w:t>
            </w:r>
          </w:p>
        </w:tc>
        <w:tc>
          <w:tcPr>
            <w:tcW w:w="501" w:type="dxa"/>
            <w:vAlign w:val="center"/>
          </w:tcPr>
          <w:p>
            <w:pPr>
              <w:pStyle w:val="8"/>
              <w:spacing w:before="223" w:line="47" w:lineRule="exact"/>
              <w:ind w:left="155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1"/>
                <w:sz w:val="18"/>
                <w:szCs w:val="18"/>
              </w:rPr>
              <w:t>一</w:t>
            </w:r>
          </w:p>
        </w:tc>
        <w:tc>
          <w:tcPr>
            <w:tcW w:w="458" w:type="dxa"/>
            <w:vAlign w:val="center"/>
          </w:tcPr>
          <w:p>
            <w:pPr>
              <w:pStyle w:val="8"/>
              <w:spacing w:before="223" w:line="47" w:lineRule="exact"/>
              <w:ind w:left="167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1"/>
                <w:sz w:val="18"/>
                <w:szCs w:val="18"/>
              </w:rPr>
              <w:t>一</w:t>
            </w:r>
          </w:p>
        </w:tc>
        <w:tc>
          <w:tcPr>
            <w:tcW w:w="945" w:type="dxa"/>
            <w:vAlign w:val="center"/>
          </w:tcPr>
          <w:p>
            <w:pPr>
              <w:pStyle w:val="8"/>
              <w:spacing w:before="229" w:line="85" w:lineRule="exact"/>
              <w:ind w:left="228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position w:val="-2"/>
                <w:sz w:val="18"/>
                <w:szCs w:val="18"/>
              </w:rPr>
              <w:t>一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8700" w:type="dxa"/>
            <w:gridSpan w:val="12"/>
            <w:vAlign w:val="center"/>
          </w:tcPr>
          <w:p>
            <w:pPr>
              <w:pStyle w:val="8"/>
              <w:spacing w:before="23" w:line="218" w:lineRule="auto"/>
              <w:ind w:left="55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18"/>
                <w:szCs w:val="18"/>
              </w:rPr>
              <w:t>注1:“一”该内饰材料不进行此项试验。</w:t>
            </w:r>
          </w:p>
          <w:p>
            <w:pPr>
              <w:pStyle w:val="8"/>
              <w:spacing w:line="218" w:lineRule="auto"/>
              <w:ind w:left="524" w:hanging="16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注2:燃烧性能等级、产烟特性等级、烟气毒性等级试验项目分别对应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  <w:lang w:val="en-US" w:eastAsia="zh-CN"/>
              </w:rPr>
              <w:t>G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4"/>
                <w:sz w:val="18"/>
                <w:szCs w:val="18"/>
              </w:rPr>
              <w:t>B 8624-2012中表3、表B.1、表B.3的分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0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5"/>
                <w:sz w:val="18"/>
                <w:szCs w:val="18"/>
              </w:rPr>
              <w:t>级判据。</w:t>
            </w:r>
          </w:p>
          <w:p>
            <w:pPr>
              <w:pStyle w:val="8"/>
              <w:spacing w:line="219" w:lineRule="auto"/>
              <w:ind w:left="554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18"/>
                <w:szCs w:val="18"/>
              </w:rPr>
              <w:t>注3:耐油性试验项目仅针对燃料为柴油的营运客车</w:t>
            </w:r>
          </w:p>
        </w:tc>
      </w:tr>
    </w:tbl>
    <w:p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垂直阻燃性能必须满足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ECE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-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R118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-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关于用于某些类型机动车辆内部结构的材料的燃烧特性的认证统一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测定要求。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color w:val="auto"/>
          <w:szCs w:val="21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16、在正常使用情况下，十年内防滑板本身不得出现腐烂、脱层、塌陷、开裂、翘曲变形等现象。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17、防滑板正面干湿花外观质量应达到合格品要求，即需同时满足以下三条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a) 与封样样件相比无明显干湿花；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b)  与封样样件相比连续干湿花的长度不能超过100mm;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 xml:space="preserve">c) 与封样样件相比干湿花的区域不能超过三处。                        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18、在满足国标、行标、企标相关规定外，乙方应保证所供产品在我司客车运营周期内、正常使用情况下不出现功能失效、腐蚀、爆炸、着火等质量问题发生。</w:t>
      </w:r>
    </w:p>
    <w:p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lang w:val="en-US" w:eastAsia="zh-CN"/>
        </w:rPr>
        <w:t>19</w:t>
      </w:r>
      <w:r>
        <w:rPr>
          <w:rFonts w:hint="eastAsia" w:asciiTheme="majorEastAsia" w:hAnsiTheme="majorEastAsia" w:eastAsiaTheme="majorEastAsia" w:cstheme="majorEastAsia"/>
          <w:color w:val="auto"/>
          <w:szCs w:val="21"/>
        </w:rPr>
        <w:t>、产品符合金龙公司相关企业标准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  <w:t>开发说明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1、防滑板安装后无开裂反馈，整体安装平整美观，主体颜色以黑色为主，其余颜色需求按通知单要求执行；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Cs w:val="21"/>
          <w:highlight w:val="none"/>
          <w:lang w:val="en-US" w:eastAsia="zh-CN"/>
        </w:rPr>
        <w:t>关键节点要求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1）乙方样件件到料时间2026年6月15日；评审后，7天内完成问题点整改，并提供完整的改善进度计划表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2）乙方应在所有材质选定后，同步进行以下认证资料的准备：检验依据为GB38262的强检报告、检验依据为JT 1095的强检报告、检验依据为ECE R118的Emark认证证书（包含水平燃烧、垂直燃烧和熔融），前者要求材料定型后20天内提供。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3）针对上述所有试验验证需求，乙方需于小批量安装之前提供完整报告。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4）乙方在小批量供货前提交完整的PPAP资料，资料清单包括以下：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4953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49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清单明细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9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ABCD表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9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CT-B-020_V1.0外观承认报告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9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CT-B-062_V4.0零部件检验基准书记录表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9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CT-P-022_V1.0CP控制计划表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9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CT-R-035_V1.0关键重要特性管制清单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CT-R-047_V1.0设计FMEA分析表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CT-R-048_V2.0制程PFMEA分析表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CT-R-078_V1.0设计变更申请单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CT-R-089_V1.0过程问题管理表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CT-R-116_V1.0PPAP文件检查表（大巴）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CT-R-117_V1.0零件提交保证书（PSW）（大巴）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CT-R-118_V1.0零件生产过程流程图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CT-R-119_V1.0PPAP临时批准计划书（大巴）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CT-R-120_V1.0散装材料要求检查表（大巴）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CT-R-121_V1.0零件设计或工程变更通知（大巴）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495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CT-R-122_V1.0KL大巴零件OTS书面验收报告</w:t>
            </w:r>
          </w:p>
        </w:tc>
        <w:tc>
          <w:tcPr>
            <w:tcW w:w="2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napToGrid/>
        <w:spacing w:line="36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Chars="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poSLig">
    <w:altName w:val="Times New Roman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448561"/>
    <w:multiLevelType w:val="singleLevel"/>
    <w:tmpl w:val="B0448561"/>
    <w:lvl w:ilvl="0" w:tentative="0">
      <w:start w:val="12"/>
      <w:numFmt w:val="decimal"/>
      <w:suff w:val="nothing"/>
      <w:lvlText w:val="%1、"/>
      <w:lvlJc w:val="left"/>
    </w:lvl>
  </w:abstractNum>
  <w:abstractNum w:abstractNumId="1">
    <w:nsid w:val="1F6503B6"/>
    <w:multiLevelType w:val="singleLevel"/>
    <w:tmpl w:val="1F6503B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BD4B962"/>
    <w:multiLevelType w:val="singleLevel"/>
    <w:tmpl w:val="4BD4B962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6F59714D"/>
    <w:multiLevelType w:val="multilevel"/>
    <w:tmpl w:val="6F59714D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  <w:sz w:val="21"/>
        <w:szCs w:val="21"/>
      </w:rPr>
    </w:lvl>
    <w:lvl w:ilvl="1" w:tentative="0">
      <w:start w:val="1"/>
      <w:numFmt w:val="decimal"/>
      <w:lvlText w:val="%1.%2"/>
      <w:lvlJc w:val="left"/>
      <w:pPr>
        <w:ind w:left="425" w:hanging="425"/>
      </w:pPr>
      <w:rPr>
        <w:rFonts w:hint="eastAsia"/>
        <w:sz w:val="24"/>
      </w:rPr>
    </w:lvl>
    <w:lvl w:ilvl="2" w:tentative="0">
      <w:start w:val="1"/>
      <w:numFmt w:val="decimal"/>
      <w:pStyle w:val="2"/>
      <w:lvlText w:val="%1.%2.%3"/>
      <w:lvlJc w:val="left"/>
      <w:pPr>
        <w:ind w:left="425" w:hanging="425"/>
      </w:pPr>
      <w:rPr>
        <w:rFonts w:hint="eastAsia"/>
        <w:sz w:val="24"/>
      </w:rPr>
    </w:lvl>
    <w:lvl w:ilvl="3" w:tentative="0">
      <w:start w:val="1"/>
      <w:numFmt w:val="decimal"/>
      <w:lvlText w:val="%1.%2.%3.%4"/>
      <w:lvlJc w:val="left"/>
      <w:pPr>
        <w:ind w:left="425" w:hanging="425"/>
      </w:pPr>
      <w:rPr>
        <w:rFonts w:hint="eastAsia"/>
        <w:sz w:val="24"/>
        <w:lang w:val="de-DE"/>
      </w:rPr>
    </w:lvl>
    <w:lvl w:ilvl="4" w:tentative="0">
      <w:start w:val="1"/>
      <w:numFmt w:val="decimal"/>
      <w:lvlText w:val="%1.%2.%3.%4.%5"/>
      <w:lvlJc w:val="left"/>
      <w:pPr>
        <w:ind w:left="425" w:hanging="425"/>
      </w:pPr>
      <w:rPr>
        <w:rFonts w:hint="eastAsia"/>
        <w:sz w:val="24"/>
      </w:rPr>
    </w:lvl>
    <w:lvl w:ilvl="5" w:tentative="0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E26A63"/>
    <w:rsid w:val="006B064E"/>
    <w:rsid w:val="036D0A36"/>
    <w:rsid w:val="058364BC"/>
    <w:rsid w:val="0D143E41"/>
    <w:rsid w:val="0FFA49AB"/>
    <w:rsid w:val="107513A3"/>
    <w:rsid w:val="11770E0C"/>
    <w:rsid w:val="12BE30F9"/>
    <w:rsid w:val="150B7123"/>
    <w:rsid w:val="17532510"/>
    <w:rsid w:val="18175920"/>
    <w:rsid w:val="19412635"/>
    <w:rsid w:val="1BDE3D47"/>
    <w:rsid w:val="1C471D64"/>
    <w:rsid w:val="1CDE6053"/>
    <w:rsid w:val="1CFC720E"/>
    <w:rsid w:val="1E791D30"/>
    <w:rsid w:val="1E9B482D"/>
    <w:rsid w:val="1EB0517E"/>
    <w:rsid w:val="1F3B3532"/>
    <w:rsid w:val="209D0EA6"/>
    <w:rsid w:val="20D93F72"/>
    <w:rsid w:val="23084A44"/>
    <w:rsid w:val="287D48F1"/>
    <w:rsid w:val="2A3E7EF5"/>
    <w:rsid w:val="2CA15F4F"/>
    <w:rsid w:val="2DA3790F"/>
    <w:rsid w:val="2F00118D"/>
    <w:rsid w:val="2F4F2115"/>
    <w:rsid w:val="305A6705"/>
    <w:rsid w:val="31D32CB0"/>
    <w:rsid w:val="32510F88"/>
    <w:rsid w:val="34713E19"/>
    <w:rsid w:val="350B5C9D"/>
    <w:rsid w:val="35F2045D"/>
    <w:rsid w:val="36817EA6"/>
    <w:rsid w:val="388F64FE"/>
    <w:rsid w:val="3912222E"/>
    <w:rsid w:val="3A6856C2"/>
    <w:rsid w:val="3BBC4CEA"/>
    <w:rsid w:val="3CBB7864"/>
    <w:rsid w:val="3D017116"/>
    <w:rsid w:val="3E9E49DA"/>
    <w:rsid w:val="41E26A63"/>
    <w:rsid w:val="48EC4754"/>
    <w:rsid w:val="49856DD6"/>
    <w:rsid w:val="4A0D37DC"/>
    <w:rsid w:val="4B5E3EC9"/>
    <w:rsid w:val="4BDC3CA0"/>
    <w:rsid w:val="4CED4561"/>
    <w:rsid w:val="4DF82EB5"/>
    <w:rsid w:val="58E95A1F"/>
    <w:rsid w:val="5DF21520"/>
    <w:rsid w:val="5EBC7C95"/>
    <w:rsid w:val="60CC4897"/>
    <w:rsid w:val="62733F63"/>
    <w:rsid w:val="66867652"/>
    <w:rsid w:val="676D2293"/>
    <w:rsid w:val="68B24B32"/>
    <w:rsid w:val="68FA172E"/>
    <w:rsid w:val="69875D7C"/>
    <w:rsid w:val="69F62C53"/>
    <w:rsid w:val="69FD0E0D"/>
    <w:rsid w:val="6EEC1177"/>
    <w:rsid w:val="6FD8403A"/>
    <w:rsid w:val="70734EB1"/>
    <w:rsid w:val="71FF4749"/>
    <w:rsid w:val="76C52C18"/>
    <w:rsid w:val="79F072B4"/>
    <w:rsid w:val="7C9561AE"/>
    <w:rsid w:val="7E707654"/>
    <w:rsid w:val="7F6E2003"/>
    <w:rsid w:val="7FE6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numPr>
        <w:ilvl w:val="2"/>
        <w:numId w:val="1"/>
      </w:numPr>
      <w:spacing w:before="60" w:after="60"/>
    </w:pPr>
    <w:rPr>
      <w:rFonts w:ascii="CorpoSLig" w:hAnsi="CorpoSLig" w:eastAsia="宋体"/>
      <w:kern w:val="0"/>
      <w:sz w:val="24"/>
      <w:lang w:val="de-DE" w:eastAsia="de-DE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2025-08-09T01:27:00Z</dcterms:created>
  <dc:creator>linwh</dc:creator>
  <cp:lastModifiedBy>王仂</cp:lastModifiedBy>
  <dcterms:modified xsi:type="dcterms:W3CDTF">2026-05-15T05:37:39Z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