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after="120"/>
        <w:rPr>
          <w:sz w:val="30"/>
          <w:szCs w:val="30"/>
        </w:rPr>
      </w:pPr>
      <w:bookmarkStart w:id="0" w:name="_Toc21409"/>
      <w:bookmarkStart w:id="1" w:name="_Toc5934"/>
      <w:bookmarkStart w:id="2" w:name="_Toc97560485"/>
      <w:bookmarkStart w:id="3" w:name="_Toc26315"/>
      <w:bookmarkStart w:id="4" w:name="_Toc14358"/>
      <w:bookmarkStart w:id="5" w:name="_Toc20631"/>
      <w:bookmarkStart w:id="6" w:name="_Toc17193"/>
      <w:bookmarkStart w:id="7" w:name="_Toc19915"/>
      <w:r>
        <w:rPr>
          <w:rFonts w:hint="eastAsia"/>
          <w:sz w:val="30"/>
          <w:szCs w:val="30"/>
          <w:lang w:val="en-US" w:eastAsia="zh-CN"/>
        </w:rPr>
        <w:t>涂装滑橇</w:t>
      </w:r>
      <w:r>
        <w:rPr>
          <w:rFonts w:hint="eastAsia"/>
          <w:sz w:val="30"/>
          <w:szCs w:val="30"/>
        </w:rPr>
        <w:t>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5"/>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bookmarkStart w:id="23" w:name="_GoBack"/>
      <w:bookmarkEnd w:id="23"/>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5"/>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5"/>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lang w:val="en-US" w:eastAsia="zh-CN"/>
        </w:rPr>
        <w:t>20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lang w:val="en-US" w:eastAsia="zh-CN"/>
        </w:rPr>
        <w:t>30</w:t>
      </w:r>
      <w:r>
        <w:rPr>
          <w:rFonts w:hint="eastAsia" w:ascii="宋体" w:hAnsi="宋体" w:cs="宋体"/>
          <w:b/>
          <w:color w:val="FF0000"/>
        </w:rPr>
        <w:t>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50</w:t>
      </w:r>
      <w:r>
        <w:rPr>
          <w:rFonts w:hint="eastAsia" w:ascii="宋体" w:hAnsi="宋体" w:cs="宋体"/>
          <w:b/>
          <w:color w:val="FF0000"/>
          <w:szCs w:val="20"/>
        </w:rPr>
        <w:t>分）</w:t>
      </w:r>
    </w:p>
    <w:p>
      <w:pPr>
        <w:pStyle w:val="15"/>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5"/>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pPr>
        <w:pStyle w:val="15"/>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5"/>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5"/>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标后履约管理由招标需求部门或相应采购部门负责；针对中标供应商的技术T、质量Q、供应D、售后服务S方面，相应责任部门应建立起有效的合同履行和评价体系，进行有效监管。</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spacing w:line="360" w:lineRule="auto"/>
        <w:outlineLvl w:val="2"/>
        <w:rPr>
          <w:rFonts w:hint="eastAsia" w:ascii="宋体" w:hAnsi="宋体"/>
          <w:b/>
          <w:bCs/>
          <w:sz w:val="24"/>
          <w:szCs w:val="24"/>
        </w:rPr>
      </w:pPr>
      <w:bookmarkStart w:id="10" w:name="_Toc29820"/>
      <w:bookmarkStart w:id="11" w:name="_Toc3899"/>
      <w:bookmarkStart w:id="12" w:name="_Hlk217420103"/>
      <w:r>
        <w:rPr>
          <w:rFonts w:hint="eastAsia" w:ascii="宋体" w:hAnsi="宋体"/>
          <w:b/>
          <w:bCs/>
          <w:sz w:val="24"/>
          <w:szCs w:val="24"/>
        </w:rPr>
        <w:t>表一：供应商</w:t>
      </w:r>
      <w:r>
        <w:rPr>
          <w:rFonts w:hint="eastAsia" w:ascii="宋体" w:hAnsi="宋体"/>
          <w:b/>
          <w:bCs/>
          <w:sz w:val="24"/>
          <w:szCs w:val="24"/>
          <w:lang w:val="en-US" w:eastAsia="zh-CN"/>
        </w:rPr>
        <w:t>商务B</w:t>
      </w:r>
      <w:r>
        <w:rPr>
          <w:rFonts w:hint="eastAsia" w:ascii="宋体" w:hAnsi="宋体"/>
          <w:b/>
          <w:bCs/>
          <w:sz w:val="24"/>
          <w:szCs w:val="24"/>
        </w:rPr>
        <w:t>审核评审项目/评分标准</w:t>
      </w:r>
      <w:bookmarkEnd w:id="10"/>
      <w:bookmarkEnd w:id="11"/>
    </w:p>
    <w:bookmarkEnd w:id="12"/>
    <w:p>
      <w:pPr>
        <w:spacing w:line="360" w:lineRule="auto"/>
        <w:jc w:val="left"/>
        <w:rPr>
          <w:rFonts w:hint="eastAsia" w:ascii="宋体" w:hAnsi="宋体" w:cs="Tahoma"/>
          <w:sz w:val="22"/>
          <w:szCs w:val="24"/>
        </w:rPr>
      </w:pPr>
    </w:p>
    <w:tbl>
      <w:tblPr>
        <w:tblStyle w:val="13"/>
        <w:tblW w:w="14300" w:type="dxa"/>
        <w:tblInd w:w="0" w:type="dxa"/>
        <w:tblLayout w:type="fixed"/>
        <w:tblCellMar>
          <w:top w:w="0" w:type="dxa"/>
          <w:left w:w="0" w:type="dxa"/>
          <w:bottom w:w="0" w:type="dxa"/>
          <w:right w:w="0" w:type="dxa"/>
        </w:tblCellMar>
      </w:tblPr>
      <w:tblGrid>
        <w:gridCol w:w="961"/>
        <w:gridCol w:w="1384"/>
        <w:gridCol w:w="6723"/>
        <w:gridCol w:w="1380"/>
        <w:gridCol w:w="3852"/>
      </w:tblGrid>
      <w:tr>
        <w:tblPrEx>
          <w:tblLayout w:type="fixed"/>
          <w:tblCellMar>
            <w:top w:w="0" w:type="dxa"/>
            <w:left w:w="0" w:type="dxa"/>
            <w:bottom w:w="0" w:type="dxa"/>
            <w:right w:w="0" w:type="dxa"/>
          </w:tblCellMar>
        </w:tblPrEx>
        <w:trPr>
          <w:trHeight w:val="658" w:hRule="atLeast"/>
        </w:trPr>
        <w:tc>
          <w:tcPr>
            <w:tcW w:w="14300" w:type="dxa"/>
            <w:gridSpan w:val="5"/>
            <w:tcBorders>
              <w:top w:val="single" w:color="000000" w:sz="8" w:space="0"/>
              <w:left w:val="single" w:color="000000" w:sz="8"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r>
              <w:rPr>
                <w:rFonts w:hint="eastAsia" w:ascii="等线" w:hAnsi="等线" w:eastAsia="等线" w:cs="等线"/>
                <w:i w:val="0"/>
                <w:color w:val="000000"/>
                <w:kern w:val="0"/>
                <w:sz w:val="36"/>
                <w:szCs w:val="36"/>
                <w:u w:val="none"/>
                <w:lang w:val="en-US" w:eastAsia="zh-CN" w:bidi="ar"/>
              </w:rPr>
              <w:t>供应商能力评审表-商务B分项评分标准及分数</w:t>
            </w:r>
          </w:p>
        </w:tc>
      </w:tr>
      <w:tr>
        <w:tblPrEx>
          <w:tblLayout w:type="fixed"/>
          <w:tblCellMar>
            <w:top w:w="0" w:type="dxa"/>
            <w:left w:w="0" w:type="dxa"/>
            <w:bottom w:w="0" w:type="dxa"/>
            <w:right w:w="0" w:type="dxa"/>
          </w:tblCellMar>
        </w:tblPrEx>
        <w:trPr>
          <w:trHeight w:val="320" w:hRule="atLeast"/>
        </w:trPr>
        <w:tc>
          <w:tcPr>
            <w:tcW w:w="961" w:type="dxa"/>
            <w:vMerge w:val="restart"/>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w:t>
            </w:r>
          </w:p>
        </w:tc>
        <w:tc>
          <w:tcPr>
            <w:tcW w:w="1384"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供应商能力评审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（商务B分项）</w:t>
            </w:r>
          </w:p>
        </w:tc>
        <w:tc>
          <w:tcPr>
            <w:tcW w:w="6723"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1380"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分数</w:t>
            </w:r>
          </w:p>
        </w:tc>
        <w:tc>
          <w:tcPr>
            <w:tcW w:w="3852" w:type="dxa"/>
            <w:vMerge w:val="restart"/>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tblLayout w:type="fixed"/>
          <w:tblCellMar>
            <w:top w:w="0" w:type="dxa"/>
            <w:left w:w="0" w:type="dxa"/>
            <w:bottom w:w="0" w:type="dxa"/>
            <w:right w:w="0" w:type="dxa"/>
          </w:tblCellMar>
        </w:tblPrEx>
        <w:trPr>
          <w:trHeight w:val="320" w:hRule="atLeast"/>
        </w:trPr>
        <w:tc>
          <w:tcPr>
            <w:tcW w:w="961" w:type="dxa"/>
            <w:vMerge w:val="continue"/>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723"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852"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643" w:hRule="atLeast"/>
        </w:trPr>
        <w:tc>
          <w:tcPr>
            <w:tcW w:w="961" w:type="dxa"/>
            <w:vMerge w:val="continue"/>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4"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723"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852"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750"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384"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质保服务承诺（满分4分）</w:t>
            </w:r>
          </w:p>
        </w:tc>
        <w:tc>
          <w:tcPr>
            <w:tcW w:w="672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sz w:val="18"/>
                <w:szCs w:val="18"/>
                <w:u w:val="none"/>
                <w:lang w:val="en-US" w:eastAsia="zh-CN"/>
              </w:rPr>
              <w:t>质保期至少一年，每增加半年得2分，满分4分</w:t>
            </w:r>
          </w:p>
        </w:tc>
        <w:tc>
          <w:tcPr>
            <w:tcW w:w="1380" w:type="dxa"/>
            <w:tcBorders>
              <w:top w:val="single" w:color="000000" w:sz="8" w:space="0"/>
              <w:left w:val="single" w:color="000000" w:sz="4" w:space="0"/>
              <w:bottom w:val="single" w:color="000000"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18"/>
                <w:szCs w:val="18"/>
                <w:u w:val="none"/>
              </w:rPr>
            </w:pPr>
            <w:r>
              <w:rPr>
                <w:rFonts w:hint="eastAsia" w:ascii="宋体" w:hAnsi="宋体" w:eastAsia="宋体" w:cs="宋体"/>
                <w:b/>
                <w:i w:val="0"/>
                <w:color w:val="FF0000"/>
                <w:kern w:val="0"/>
                <w:sz w:val="18"/>
                <w:szCs w:val="18"/>
                <w:u w:val="none"/>
                <w:lang w:val="en-US" w:eastAsia="zh-CN" w:bidi="ar"/>
              </w:rPr>
              <w:t>0-</w:t>
            </w:r>
            <w:r>
              <w:rPr>
                <w:rFonts w:hint="eastAsia" w:ascii="宋体" w:hAnsi="宋体" w:cs="宋体"/>
                <w:b/>
                <w:i w:val="0"/>
                <w:color w:val="FF0000"/>
                <w:kern w:val="0"/>
                <w:sz w:val="18"/>
                <w:szCs w:val="18"/>
                <w:u w:val="none"/>
                <w:lang w:val="en-US" w:eastAsia="zh-CN" w:bidi="ar"/>
              </w:rPr>
              <w:t>4</w:t>
            </w:r>
          </w:p>
        </w:tc>
        <w:tc>
          <w:tcPr>
            <w:tcW w:w="3852" w:type="dxa"/>
            <w:tcBorders>
              <w:top w:val="single" w:color="000000" w:sz="8" w:space="0"/>
              <w:left w:val="single" w:color="000000" w:sz="4" w:space="0"/>
              <w:bottom w:val="nil"/>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29"/>
                <w:rFonts w:hint="eastAsia"/>
                <w:lang w:val="en-US" w:eastAsia="zh-CN" w:bidi="ar"/>
              </w:rPr>
              <w:t>提供质保承诺函-盖章</w:t>
            </w:r>
          </w:p>
        </w:tc>
      </w:tr>
      <w:tr>
        <w:tblPrEx>
          <w:tblLayout w:type="fixed"/>
          <w:tblCellMar>
            <w:top w:w="0" w:type="dxa"/>
            <w:left w:w="0" w:type="dxa"/>
            <w:bottom w:w="0" w:type="dxa"/>
            <w:right w:w="0" w:type="dxa"/>
          </w:tblCellMar>
        </w:tblPrEx>
        <w:trPr>
          <w:trHeight w:val="1293"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项目业绩（满分8分） </w:t>
            </w:r>
          </w:p>
        </w:tc>
        <w:tc>
          <w:tcPr>
            <w:tcW w:w="6723"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①近三年主流客车厂配套铁件加工类合计达 100 万元以上，且其中包含设计制造标的物滑橇同类工装达15万元以上，得8分；</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②近三年主流客车厂配套铁件加工类合计达 100 万元以上，且其中包含设计制造工装达10万元以上，得5分；</w:t>
            </w:r>
          </w:p>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③近三年主流客车厂配套铁件加工类合计达 100 万元以上，得 3 分；</w:t>
            </w:r>
          </w:p>
          <w:p>
            <w:pPr>
              <w:keepNext w:val="0"/>
              <w:keepLines w:val="0"/>
              <w:widowControl/>
              <w:suppressLineNumbers w:val="0"/>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④近三年主流客车厂配套铁件加工类合计不足 100 万元，本项不得分</w:t>
            </w:r>
          </w:p>
        </w:tc>
        <w:tc>
          <w:tcPr>
            <w:tcW w:w="1380"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0-8</w:t>
            </w:r>
          </w:p>
        </w:tc>
        <w:tc>
          <w:tcPr>
            <w:tcW w:w="3852" w:type="dxa"/>
            <w:tcBorders>
              <w:top w:val="single" w:color="000000" w:sz="8" w:space="0"/>
              <w:left w:val="single" w:color="000000" w:sz="4" w:space="0"/>
              <w:bottom w:val="single" w:color="auto"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Style w:val="29"/>
                <w:lang w:val="en-US" w:eastAsia="zh-CN" w:bidi="ar"/>
              </w:rPr>
            </w:pPr>
            <w:r>
              <w:rPr>
                <w:rStyle w:val="29"/>
                <w:rFonts w:hint="eastAsia"/>
                <w:lang w:val="en-US" w:eastAsia="zh-CN" w:bidi="ar"/>
              </w:rPr>
              <w:t>提供合同、转账记录、验收报告等相关记录（必要时隐去敏感相关项）</w:t>
            </w:r>
          </w:p>
        </w:tc>
      </w:tr>
      <w:tr>
        <w:tblPrEx>
          <w:tblLayout w:type="fixed"/>
          <w:tblCellMar>
            <w:top w:w="0" w:type="dxa"/>
            <w:left w:w="0" w:type="dxa"/>
            <w:bottom w:w="0" w:type="dxa"/>
            <w:right w:w="0" w:type="dxa"/>
          </w:tblCellMar>
        </w:tblPrEx>
        <w:trPr>
          <w:trHeight w:val="90" w:hRule="atLeast"/>
        </w:trPr>
        <w:tc>
          <w:tcPr>
            <w:tcW w:w="961" w:type="dxa"/>
            <w:tcBorders>
              <w:top w:val="single" w:color="000000" w:sz="8" w:space="0"/>
              <w:left w:val="single" w:color="000000" w:sz="8"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auto"/>
                <w:kern w:val="0"/>
                <w:sz w:val="20"/>
                <w:szCs w:val="20"/>
                <w:u w:val="none"/>
                <w:shd w:val="clear" w:color="auto" w:fill="auto"/>
                <w:lang w:val="en-US" w:eastAsia="zh-CN" w:bidi="ar"/>
              </w:rPr>
              <w:t>3</w:t>
            </w:r>
          </w:p>
        </w:tc>
        <w:tc>
          <w:tcPr>
            <w:tcW w:w="1384"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shd w:val="clear" w:color="auto" w:fill="auto"/>
                <w:lang w:val="en-US" w:eastAsia="zh-CN" w:bidi="ar"/>
              </w:rPr>
              <w:t>品质保证体系（满分4分）</w:t>
            </w:r>
          </w:p>
        </w:tc>
        <w:tc>
          <w:tcPr>
            <w:tcW w:w="6723" w:type="dxa"/>
            <w:tcBorders>
              <w:top w:val="single" w:color="000000" w:sz="8"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auto"/>
                <w:kern w:val="0"/>
                <w:sz w:val="18"/>
                <w:szCs w:val="18"/>
                <w:u w:val="none"/>
                <w:shd w:val="clear" w:color="auto" w:fill="auto"/>
                <w:lang w:val="en-US" w:eastAsia="zh-CN" w:bidi="ar"/>
              </w:rPr>
              <w:t>通过IATF16949质量管理体系认证或ISO9001质量管理体系认证</w:t>
            </w:r>
          </w:p>
        </w:tc>
        <w:tc>
          <w:tcPr>
            <w:tcW w:w="1380" w:type="dxa"/>
            <w:tcBorders>
              <w:top w:val="single" w:color="000000" w:sz="8" w:space="0"/>
              <w:left w:val="single" w:color="000000" w:sz="4" w:space="0"/>
              <w:bottom w:val="single" w:color="auto" w:sz="4"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shd w:val="clear" w:color="auto" w:fill="auto"/>
                <w:lang w:val="en-US" w:eastAsia="zh-CN" w:bidi="ar"/>
              </w:rPr>
              <w:t>0-4</w:t>
            </w:r>
          </w:p>
        </w:tc>
        <w:tc>
          <w:tcPr>
            <w:tcW w:w="3852" w:type="dxa"/>
            <w:tcBorders>
              <w:top w:val="single" w:color="000000" w:sz="8" w:space="0"/>
              <w:left w:val="single" w:color="000000" w:sz="4" w:space="0"/>
              <w:bottom w:val="single" w:color="auto"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29"/>
                <w:rFonts w:hint="eastAsia"/>
                <w:lang w:val="en-US" w:eastAsia="zh-CN" w:bidi="ar"/>
              </w:rPr>
              <w:t>提供证明资料</w:t>
            </w:r>
            <w:r>
              <w:rPr>
                <w:rFonts w:hint="eastAsia" w:ascii="宋体" w:hAnsi="宋体" w:cs="宋体"/>
                <w:i w:val="0"/>
                <w:color w:val="auto"/>
                <w:kern w:val="0"/>
                <w:sz w:val="20"/>
                <w:szCs w:val="20"/>
                <w:u w:val="none"/>
                <w:shd w:val="clear" w:color="auto" w:fill="auto"/>
                <w:lang w:val="en-US" w:eastAsia="zh-CN" w:bidi="ar"/>
              </w:rPr>
              <w:t>。</w:t>
            </w:r>
          </w:p>
        </w:tc>
      </w:tr>
      <w:tr>
        <w:tblPrEx>
          <w:tblLayout w:type="fixed"/>
          <w:tblCellMar>
            <w:top w:w="0" w:type="dxa"/>
            <w:left w:w="0" w:type="dxa"/>
            <w:bottom w:w="0" w:type="dxa"/>
            <w:right w:w="0" w:type="dxa"/>
          </w:tblCellMar>
        </w:tblPrEx>
        <w:trPr>
          <w:trHeight w:val="1470" w:hRule="atLeast"/>
        </w:trPr>
        <w:tc>
          <w:tcPr>
            <w:tcW w:w="961"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4</w:t>
            </w:r>
          </w:p>
        </w:tc>
        <w:tc>
          <w:tcPr>
            <w:tcW w:w="1384" w:type="dxa"/>
            <w:tcBorders>
              <w:top w:val="single" w:color="000000" w:sz="8"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售后响应（满分4分）</w:t>
            </w:r>
          </w:p>
        </w:tc>
        <w:tc>
          <w:tcPr>
            <w:tcW w:w="6723" w:type="dxa"/>
            <w:tcBorders>
              <w:top w:val="single" w:color="000000" w:sz="8"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①承诺接到通知后4小时内到达现场排查故障原因或服务;24个小时内解决故障及危机，得4分；</w:t>
            </w:r>
          </w:p>
          <w:p>
            <w:pPr>
              <w:keepNext w:val="0"/>
              <w:keepLines w:val="0"/>
              <w:widowControl/>
              <w:suppressLineNumbers w:val="0"/>
              <w:jc w:val="both"/>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②承诺接到通知后24小时内到达现场排查故障原因或服务;72个小时内解决故障及危机，得2分；</w:t>
            </w:r>
          </w:p>
        </w:tc>
        <w:tc>
          <w:tcPr>
            <w:tcW w:w="1380" w:type="dxa"/>
            <w:tcBorders>
              <w:top w:val="single" w:color="000000" w:sz="8" w:space="0"/>
              <w:left w:val="single" w:color="000000" w:sz="4" w:space="0"/>
              <w:bottom w:val="nil"/>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eastAsia="宋体" w:cs="宋体"/>
                <w:b/>
                <w:i w:val="0"/>
                <w:color w:val="FF0000"/>
                <w:kern w:val="0"/>
                <w:sz w:val="18"/>
                <w:szCs w:val="18"/>
                <w:u w:val="none"/>
                <w:lang w:val="en-US" w:eastAsia="zh-CN" w:bidi="ar"/>
              </w:rPr>
              <w:t>0-4</w:t>
            </w:r>
          </w:p>
        </w:tc>
        <w:tc>
          <w:tcPr>
            <w:tcW w:w="3852" w:type="dxa"/>
            <w:tcBorders>
              <w:top w:val="single" w:color="000000" w:sz="8" w:space="0"/>
              <w:left w:val="single" w:color="000000" w:sz="4" w:space="0"/>
              <w:bottom w:val="nil"/>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Style w:val="29"/>
                <w:rFonts w:hint="eastAsia"/>
                <w:lang w:val="en-US" w:eastAsia="zh-CN" w:bidi="ar"/>
              </w:rPr>
              <w:t>提供售后服务承诺函-盖章</w:t>
            </w:r>
          </w:p>
        </w:tc>
      </w:tr>
      <w:tr>
        <w:tblPrEx>
          <w:tblLayout w:type="fixed"/>
          <w:tblCellMar>
            <w:top w:w="0" w:type="dxa"/>
            <w:left w:w="0" w:type="dxa"/>
            <w:bottom w:w="0" w:type="dxa"/>
            <w:right w:w="0" w:type="dxa"/>
          </w:tblCellMar>
        </w:tblPrEx>
        <w:trPr>
          <w:trHeight w:val="475" w:hRule="atLeast"/>
        </w:trPr>
        <w:tc>
          <w:tcPr>
            <w:tcW w:w="10448" w:type="dxa"/>
            <w:gridSpan w:val="4"/>
            <w:tcBorders>
              <w:top w:val="single" w:color="000000" w:sz="8"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评分小计（B）（满分</w:t>
            </w:r>
            <w:r>
              <w:rPr>
                <w:rFonts w:hint="eastAsia" w:ascii="宋体" w:hAnsi="宋体" w:cs="宋体"/>
                <w:b/>
                <w:i w:val="0"/>
                <w:color w:val="000000"/>
                <w:kern w:val="0"/>
                <w:sz w:val="21"/>
                <w:szCs w:val="21"/>
                <w:u w:val="none"/>
                <w:lang w:val="en-US" w:eastAsia="zh-CN" w:bidi="ar"/>
              </w:rPr>
              <w:t>20</w:t>
            </w:r>
            <w:r>
              <w:rPr>
                <w:rFonts w:hint="eastAsia" w:ascii="宋体" w:hAnsi="宋体" w:eastAsia="宋体" w:cs="宋体"/>
                <w:b/>
                <w:i w:val="0"/>
                <w:color w:val="000000"/>
                <w:kern w:val="0"/>
                <w:sz w:val="21"/>
                <w:szCs w:val="21"/>
                <w:u w:val="none"/>
                <w:lang w:val="en-US" w:eastAsia="zh-CN" w:bidi="ar"/>
              </w:rPr>
              <w:t>分）</w:t>
            </w:r>
          </w:p>
        </w:tc>
        <w:tc>
          <w:tcPr>
            <w:tcW w:w="3852" w:type="dxa"/>
            <w:tcBorders>
              <w:top w:val="single" w:color="000000" w:sz="8" w:space="0"/>
              <w:left w:val="single" w:color="000000" w:sz="4" w:space="0"/>
              <w:bottom w:val="single" w:color="000000" w:sz="8" w:space="0"/>
              <w:right w:val="single" w:color="000000" w:sz="8" w:space="0"/>
            </w:tcBorders>
            <w:tcMar>
              <w:top w:w="15" w:type="dxa"/>
              <w:left w:w="15" w:type="dxa"/>
              <w:right w:w="15" w:type="dxa"/>
            </w:tcMar>
            <w:vAlign w:val="center"/>
          </w:tcPr>
          <w:p>
            <w:pPr>
              <w:jc w:val="left"/>
              <w:rPr>
                <w:rFonts w:hint="default" w:ascii="Times New Roman" w:hAnsi="Times New Roman" w:eastAsia="等线" w:cs="Times New Roman"/>
                <w:b/>
                <w:i w:val="0"/>
                <w:color w:val="000000"/>
                <w:sz w:val="21"/>
                <w:szCs w:val="21"/>
                <w:u w:val="none"/>
              </w:rPr>
            </w:pPr>
          </w:p>
        </w:tc>
      </w:tr>
    </w:tbl>
    <w:p>
      <w:pPr>
        <w:spacing w:line="360" w:lineRule="auto"/>
        <w:outlineLvl w:val="2"/>
        <w:rPr>
          <w:rFonts w:hint="eastAsia" w:ascii="宋体" w:hAnsi="宋体"/>
          <w:b/>
          <w:bCs/>
          <w:color w:val="0000FF"/>
          <w:sz w:val="24"/>
          <w:szCs w:val="24"/>
        </w:rPr>
      </w:pPr>
      <w:bookmarkStart w:id="13" w:name="_Toc28891"/>
      <w:bookmarkStart w:id="14" w:name="_Toc31548"/>
      <w:r>
        <w:rPr>
          <w:rFonts w:hint="eastAsia" w:ascii="宋体" w:hAnsi="宋体"/>
          <w:b/>
          <w:bCs/>
          <w:color w:val="0000FF"/>
          <w:sz w:val="24"/>
          <w:szCs w:val="24"/>
        </w:rPr>
        <w:t>表二：供应商技术T审核评审项目/评分标准</w:t>
      </w:r>
      <w:bookmarkEnd w:id="13"/>
      <w:bookmarkEnd w:id="14"/>
    </w:p>
    <w:p>
      <w:pPr>
        <w:spacing w:line="360" w:lineRule="auto"/>
        <w:jc w:val="left"/>
        <w:rPr>
          <w:rFonts w:hint="eastAsia" w:ascii="宋体" w:hAnsi="宋体" w:cs="Tahoma"/>
          <w:sz w:val="22"/>
          <w:szCs w:val="24"/>
        </w:rPr>
      </w:pPr>
    </w:p>
    <w:tbl>
      <w:tblPr>
        <w:tblStyle w:val="13"/>
        <w:tblW w:w="13860" w:type="dxa"/>
        <w:tblInd w:w="0" w:type="dxa"/>
        <w:tblLayout w:type="fixed"/>
        <w:tblCellMar>
          <w:top w:w="0" w:type="dxa"/>
          <w:left w:w="0" w:type="dxa"/>
          <w:bottom w:w="0" w:type="dxa"/>
          <w:right w:w="0" w:type="dxa"/>
        </w:tblCellMar>
      </w:tblPr>
      <w:tblGrid>
        <w:gridCol w:w="1080"/>
        <w:gridCol w:w="1710"/>
        <w:gridCol w:w="6263"/>
        <w:gridCol w:w="1380"/>
        <w:gridCol w:w="3427"/>
      </w:tblGrid>
      <w:tr>
        <w:tblPrEx>
          <w:tblLayout w:type="fixed"/>
          <w:tblCellMar>
            <w:top w:w="0" w:type="dxa"/>
            <w:left w:w="0" w:type="dxa"/>
            <w:bottom w:w="0" w:type="dxa"/>
            <w:right w:w="0" w:type="dxa"/>
          </w:tblCellMar>
        </w:tblPrEx>
        <w:trPr>
          <w:trHeight w:val="480" w:hRule="atLeast"/>
        </w:trPr>
        <w:tc>
          <w:tcPr>
            <w:tcW w:w="13860" w:type="dxa"/>
            <w:gridSpan w:val="5"/>
            <w:tcBorders>
              <w:top w:val="single" w:color="000000" w:sz="8" w:space="0"/>
              <w:left w:val="single" w:color="000000" w:sz="8" w:space="0"/>
              <w:bottom w:val="nil"/>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ascii="等线" w:hAnsi="等线" w:eastAsia="等线" w:cs="等线"/>
                <w:i w:val="0"/>
                <w:color w:val="000000"/>
                <w:sz w:val="36"/>
                <w:szCs w:val="36"/>
                <w:u w:val="none"/>
              </w:rPr>
            </w:pPr>
            <w:r>
              <w:rPr>
                <w:rFonts w:hint="eastAsia" w:ascii="等线" w:hAnsi="等线" w:eastAsia="等线" w:cs="等线"/>
                <w:i w:val="0"/>
                <w:color w:val="000000"/>
                <w:kern w:val="0"/>
                <w:sz w:val="36"/>
                <w:szCs w:val="36"/>
                <w:u w:val="none"/>
                <w:lang w:val="en-US" w:eastAsia="zh-CN" w:bidi="ar"/>
              </w:rPr>
              <w:t>供应商能力评审表-技术T分项评分标准及分数</w:t>
            </w:r>
          </w:p>
        </w:tc>
      </w:tr>
      <w:tr>
        <w:tblPrEx>
          <w:tblLayout w:type="fixed"/>
          <w:tblCellMar>
            <w:top w:w="0" w:type="dxa"/>
            <w:left w:w="0" w:type="dxa"/>
            <w:bottom w:w="0" w:type="dxa"/>
            <w:right w:w="0" w:type="dxa"/>
          </w:tblCellMar>
        </w:tblPrEx>
        <w:trPr>
          <w:trHeight w:val="285" w:hRule="atLeast"/>
        </w:trPr>
        <w:tc>
          <w:tcPr>
            <w:tcW w:w="1080" w:type="dxa"/>
            <w:vMerge w:val="restart"/>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w:t>
            </w:r>
          </w:p>
        </w:tc>
        <w:tc>
          <w:tcPr>
            <w:tcW w:w="1710"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供应商能力评审</w:t>
            </w:r>
            <w:r>
              <w:rPr>
                <w:rFonts w:hint="eastAsia" w:ascii="宋体" w:hAnsi="宋体" w:eastAsia="宋体" w:cs="宋体"/>
                <w:b/>
                <w:i w:val="0"/>
                <w:color w:val="000000"/>
                <w:kern w:val="0"/>
                <w:sz w:val="20"/>
                <w:szCs w:val="20"/>
                <w:u w:val="none"/>
                <w:lang w:val="en-US" w:eastAsia="zh-CN" w:bidi="ar"/>
              </w:rPr>
              <w:br w:type="textWrapping"/>
            </w:r>
            <w:r>
              <w:rPr>
                <w:rFonts w:hint="eastAsia" w:ascii="宋体" w:hAnsi="宋体" w:eastAsia="宋体" w:cs="宋体"/>
                <w:b/>
                <w:i w:val="0"/>
                <w:color w:val="000000"/>
                <w:kern w:val="0"/>
                <w:sz w:val="20"/>
                <w:szCs w:val="20"/>
                <w:u w:val="none"/>
                <w:lang w:val="en-US" w:eastAsia="zh-CN" w:bidi="ar"/>
              </w:rPr>
              <w:t>（技术T分项）</w:t>
            </w:r>
          </w:p>
        </w:tc>
        <w:tc>
          <w:tcPr>
            <w:tcW w:w="6263"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评分标准</w:t>
            </w:r>
          </w:p>
        </w:tc>
        <w:tc>
          <w:tcPr>
            <w:tcW w:w="1380" w:type="dxa"/>
            <w:vMerge w:val="restart"/>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分数</w:t>
            </w:r>
          </w:p>
        </w:tc>
        <w:tc>
          <w:tcPr>
            <w:tcW w:w="3427" w:type="dxa"/>
            <w:vMerge w:val="restart"/>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tblPrEx>
          <w:tblLayout w:type="fixed"/>
          <w:tblCellMar>
            <w:top w:w="0" w:type="dxa"/>
            <w:left w:w="0" w:type="dxa"/>
            <w:bottom w:w="0" w:type="dxa"/>
            <w:right w:w="0" w:type="dxa"/>
          </w:tblCellMar>
        </w:tblPrEx>
        <w:trPr>
          <w:trHeight w:val="285" w:hRule="atLeast"/>
        </w:trPr>
        <w:tc>
          <w:tcPr>
            <w:tcW w:w="1080" w:type="dxa"/>
            <w:vMerge w:val="continue"/>
            <w:tcBorders>
              <w:top w:val="single" w:color="000000" w:sz="8" w:space="0"/>
              <w:left w:val="single" w:color="000000" w:sz="8"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710"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263"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0" w:type="dxa"/>
            <w:vMerge w:val="continue"/>
            <w:tcBorders>
              <w:top w:val="single" w:color="000000" w:sz="8"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427"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285" w:hRule="atLeast"/>
        </w:trPr>
        <w:tc>
          <w:tcPr>
            <w:tcW w:w="1080" w:type="dxa"/>
            <w:vMerge w:val="continue"/>
            <w:tcBorders>
              <w:top w:val="single" w:color="000000" w:sz="8" w:space="0"/>
              <w:left w:val="single" w:color="000000" w:sz="8" w:space="0"/>
              <w:bottom w:val="single" w:color="000000" w:sz="8"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710" w:type="dxa"/>
            <w:vMerge w:val="continue"/>
            <w:tcBorders>
              <w:top w:val="single" w:color="000000" w:sz="8" w:space="0"/>
              <w:left w:val="single" w:color="000000" w:sz="4" w:space="0"/>
              <w:bottom w:val="single" w:color="000000" w:sz="8"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6263" w:type="dxa"/>
            <w:vMerge w:val="continue"/>
            <w:tcBorders>
              <w:top w:val="single" w:color="000000" w:sz="8" w:space="0"/>
              <w:left w:val="single" w:color="000000" w:sz="4" w:space="0"/>
              <w:bottom w:val="single" w:color="000000" w:sz="8"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0" w:type="dxa"/>
            <w:vMerge w:val="continue"/>
            <w:tcBorders>
              <w:top w:val="single" w:color="000000" w:sz="8" w:space="0"/>
              <w:left w:val="single" w:color="000000" w:sz="4" w:space="0"/>
              <w:bottom w:val="single" w:color="000000" w:sz="8" w:space="0"/>
              <w:right w:val="single" w:color="000000" w:sz="4"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3427" w:type="dxa"/>
            <w:vMerge w:val="continue"/>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Layout w:type="fixed"/>
          <w:tblCellMar>
            <w:top w:w="0" w:type="dxa"/>
            <w:left w:w="0" w:type="dxa"/>
            <w:bottom w:w="0" w:type="dxa"/>
            <w:right w:w="0" w:type="dxa"/>
          </w:tblCellMar>
        </w:tblPrEx>
        <w:trPr>
          <w:trHeight w:val="864"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1</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热处理方案（满分7分）</w:t>
            </w:r>
          </w:p>
        </w:tc>
        <w:tc>
          <w:tcPr>
            <w:tcW w:w="626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①受力分析严谨精准、热处理方案科学合规，内容完整无缺失，完全贴合滑橇实际运行、加工制造全工况条件，得7分；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②受力分析及热处理方案整体合规、逻辑合理，核心内容齐全，基本适配现场工况，存在少量非关键性瑕疵，得5分；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③核心框架基本成立，但内容粗糙、细节缺失较多，科学性不足，工况适配性有限，存在一定瑕疵，需大幅修改完善后方可使用，得3分；</w:t>
            </w:r>
          </w:p>
          <w:p>
            <w:pPr>
              <w:keepNext w:val="0"/>
              <w:keepLines w:val="0"/>
              <w:widowControl/>
              <w:suppressLineNumbers w:val="0"/>
              <w:jc w:val="both"/>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④方案无科学性、内容严重缺失、完全脱离实际工况，无法使用，存在重大技术问题，不得分。</w:t>
            </w:r>
          </w:p>
        </w:tc>
        <w:tc>
          <w:tcPr>
            <w:tcW w:w="138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rPr>
            </w:pPr>
            <w:r>
              <w:rPr>
                <w:rFonts w:hint="eastAsia" w:ascii="宋体" w:hAnsi="宋体" w:cs="宋体"/>
                <w:b/>
                <w:i w:val="0"/>
                <w:color w:val="FF0000"/>
                <w:kern w:val="0"/>
                <w:sz w:val="18"/>
                <w:szCs w:val="18"/>
                <w:u w:val="none"/>
                <w:lang w:val="en-US" w:eastAsia="zh-CN" w:bidi="ar"/>
              </w:rPr>
              <w:t>0</w:t>
            </w:r>
            <w:r>
              <w:rPr>
                <w:rFonts w:hint="eastAsia" w:ascii="宋体" w:hAnsi="宋体" w:eastAsia="宋体" w:cs="宋体"/>
                <w:b/>
                <w:i w:val="0"/>
                <w:color w:val="FF0000"/>
                <w:kern w:val="0"/>
                <w:sz w:val="18"/>
                <w:szCs w:val="18"/>
                <w:u w:val="none"/>
                <w:lang w:val="en-US" w:eastAsia="zh-CN" w:bidi="ar"/>
              </w:rPr>
              <w:t>-7</w:t>
            </w:r>
          </w:p>
        </w:tc>
        <w:tc>
          <w:tcPr>
            <w:tcW w:w="3427" w:type="dxa"/>
            <w:tcBorders>
              <w:top w:val="single" w:color="000000" w:sz="8" w:space="0"/>
              <w:left w:val="single" w:color="000000" w:sz="8"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提供热处理方案和受力分析报告</w:t>
            </w:r>
          </w:p>
        </w:tc>
      </w:tr>
      <w:tr>
        <w:tblPrEx>
          <w:tblLayout w:type="fixed"/>
          <w:tblCellMar>
            <w:top w:w="0" w:type="dxa"/>
            <w:left w:w="0" w:type="dxa"/>
            <w:bottom w:w="0" w:type="dxa"/>
            <w:right w:w="0" w:type="dxa"/>
          </w:tblCellMar>
        </w:tblPrEx>
        <w:trPr>
          <w:trHeight w:val="77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制造工艺方案（满分7分）</w:t>
            </w:r>
          </w:p>
        </w:tc>
        <w:tc>
          <w:tcPr>
            <w:tcW w:w="626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①整体加工流程科学合理、精度管控体系完善，焊接及组装工艺完全适配滑橇结构特性，工艺方案成熟可靠高，得7分；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②加工、焊接、组装工艺整体合规合理，精度管控基本到位，核心工艺满足施工及质量要求，仅存在少量非关键性细节瑕疵，简单优化后即可满足项目使用要求，得5分；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③工艺框架基本成立，但加工、精度管控、焊装细节缺失较多，工艺针对性不足，质量可控性一般，需大幅优化整改后方可投入正式施工，得2分；</w:t>
            </w:r>
          </w:p>
          <w:p>
            <w:pPr>
              <w:keepNext w:val="0"/>
              <w:keepLines w:val="0"/>
              <w:widowControl/>
              <w:suppressLineNumbers w:val="0"/>
              <w:jc w:val="both"/>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④加工及焊装工艺不合理、精度管控缺失，存在严重工艺缺陷，无法保障施工质量，不适用于现场施工，不得分</w:t>
            </w:r>
          </w:p>
        </w:tc>
        <w:tc>
          <w:tcPr>
            <w:tcW w:w="138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kern w:val="0"/>
                <w:sz w:val="18"/>
                <w:szCs w:val="18"/>
                <w:u w:val="none"/>
                <w:lang w:val="en-US" w:eastAsia="zh-CN" w:bidi="ar"/>
              </w:rPr>
            </w:pPr>
            <w:r>
              <w:rPr>
                <w:rFonts w:hint="eastAsia" w:ascii="宋体" w:hAnsi="宋体" w:eastAsia="宋体" w:cs="宋体"/>
                <w:b/>
                <w:i w:val="0"/>
                <w:color w:val="FF0000"/>
                <w:kern w:val="0"/>
                <w:sz w:val="18"/>
                <w:szCs w:val="18"/>
                <w:u w:val="none"/>
                <w:lang w:val="en-US" w:eastAsia="zh-CN" w:bidi="ar"/>
              </w:rPr>
              <w:t>0-7</w:t>
            </w:r>
          </w:p>
        </w:tc>
        <w:tc>
          <w:tcPr>
            <w:tcW w:w="3427" w:type="dxa"/>
            <w:tcBorders>
              <w:top w:val="single" w:color="000000" w:sz="8" w:space="0"/>
              <w:left w:val="single" w:color="000000" w:sz="8"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提供制作加工方案</w:t>
            </w:r>
          </w:p>
        </w:tc>
      </w:tr>
      <w:tr>
        <w:tblPrEx>
          <w:tblLayout w:type="fixed"/>
          <w:tblCellMar>
            <w:top w:w="0" w:type="dxa"/>
            <w:left w:w="0" w:type="dxa"/>
            <w:bottom w:w="0" w:type="dxa"/>
            <w:right w:w="0" w:type="dxa"/>
          </w:tblCellMar>
        </w:tblPrEx>
        <w:trPr>
          <w:trHeight w:val="11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生产设备和检测能力（满分6分）</w:t>
            </w:r>
          </w:p>
        </w:tc>
        <w:tc>
          <w:tcPr>
            <w:tcW w:w="626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①生产设备配套齐全、精度等级高，完全适配滑橇加工、焊接、热处理全流程生产需求，检测设备体系完善、校验合规，可实现全工序、全指标精准质控，产能与质量保障能力极强，得6分；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②核心生产、检测设备配置齐全，设备精度基本满足生产及质控要求，整体产能与质量保障可靠，仅存在少量非关键性短板，简单优化后可完全适配项目生产需求，得4分；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③仅具备基础生产与检测设备，关键设备精度、配套性不足，质控体系不完善，生产保障与质量管控能力有限，需补充设备、完善管控后方可满足生产要求，得2分；</w:t>
            </w:r>
          </w:p>
          <w:p>
            <w:pPr>
              <w:keepNext w:val="0"/>
              <w:keepLines w:val="0"/>
              <w:widowControl/>
              <w:suppressLineNumbers w:val="0"/>
              <w:jc w:val="both"/>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④生产与检测设备严重缺失、精度不达标，无基本质控能力，无法保障滑橇生产制造质量，不得分。</w:t>
            </w:r>
          </w:p>
        </w:tc>
        <w:tc>
          <w:tcPr>
            <w:tcW w:w="1380" w:type="dxa"/>
            <w:tcBorders>
              <w:top w:val="single" w:color="000000" w:sz="8" w:space="0"/>
              <w:left w:val="single" w:color="000000" w:sz="8" w:space="0"/>
              <w:bottom w:val="single" w:color="000000" w:sz="8" w:space="0"/>
              <w:right w:val="single" w:color="000000" w:sz="8"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FF0000"/>
                <w:sz w:val="18"/>
                <w:szCs w:val="18"/>
                <w:u w:val="none"/>
                <w:lang w:val="en-US" w:eastAsia="zh-CN"/>
              </w:rPr>
            </w:pPr>
            <w:r>
              <w:rPr>
                <w:rFonts w:hint="eastAsia" w:ascii="宋体" w:hAnsi="宋体" w:eastAsia="宋体" w:cs="宋体"/>
                <w:b/>
                <w:i w:val="0"/>
                <w:color w:val="FF0000"/>
                <w:sz w:val="18"/>
                <w:szCs w:val="18"/>
                <w:u w:val="none"/>
                <w:lang w:val="en-US" w:eastAsia="zh-CN"/>
              </w:rPr>
              <w:t>0-6</w:t>
            </w:r>
          </w:p>
        </w:tc>
        <w:tc>
          <w:tcPr>
            <w:tcW w:w="3427" w:type="dxa"/>
            <w:tcBorders>
              <w:top w:val="single" w:color="000000" w:sz="8" w:space="0"/>
              <w:left w:val="single" w:color="000000" w:sz="8"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提供主要生产和检测设备清单、型号、照片等相关信息；并简要说明。</w:t>
            </w:r>
          </w:p>
        </w:tc>
      </w:tr>
      <w:tr>
        <w:tblPrEx>
          <w:tblLayout w:type="fixed"/>
          <w:tblCellMar>
            <w:top w:w="0" w:type="dxa"/>
            <w:left w:w="0" w:type="dxa"/>
            <w:bottom w:w="0" w:type="dxa"/>
            <w:right w:w="0" w:type="dxa"/>
          </w:tblCellMar>
        </w:tblPrEx>
        <w:trPr>
          <w:trHeight w:val="9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4</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sz w:val="18"/>
                <w:szCs w:val="18"/>
                <w:u w:val="none"/>
                <w:lang w:val="en-US" w:eastAsia="zh-CN"/>
              </w:rPr>
              <w:t>项目管理组织机构及主要人员（满分5分）</w:t>
            </w:r>
          </w:p>
        </w:tc>
        <w:tc>
          <w:tcPr>
            <w:tcW w:w="6263"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①项目配套人员齐整充足、分工明确、经验丰富，得5分；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②项目配套人员基本到位、分工满足要求、经验匹配，得3分；</w:t>
            </w:r>
          </w:p>
          <w:p>
            <w:pPr>
              <w:keepNext w:val="0"/>
              <w:keepLines w:val="0"/>
              <w:widowControl/>
              <w:suppressLineNumbers w:val="0"/>
              <w:jc w:val="both"/>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③项目配套人员薄弱不足、分工不合理、经验缺失，不得分。</w:t>
            </w:r>
          </w:p>
        </w:tc>
        <w:tc>
          <w:tcPr>
            <w:tcW w:w="1380" w:type="dxa"/>
            <w:tcBorders>
              <w:top w:val="single" w:color="000000" w:sz="8" w:space="0"/>
              <w:left w:val="single" w:color="000000" w:sz="4" w:space="0"/>
              <w:bottom w:val="single" w:color="000000" w:sz="8"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0-5</w:t>
            </w:r>
          </w:p>
        </w:tc>
        <w:tc>
          <w:tcPr>
            <w:tcW w:w="3427"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（1）提供拟配套投标项目所涉及的设计、生产、品质、售后服务人员概况【包含但不限于姓名、职务、专业、从业年限、职称证明、基本履历、岗位&amp;职责&amp;分工说明、医社保证明等表单内容】</w:t>
            </w:r>
          </w:p>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（2）提供拟投标项目的负责团队核心成员信息【包含但不限于姓名、性别、职位、相关专业、相关专业年限、职称证明、相关项目、医社保证明等】。</w:t>
            </w:r>
          </w:p>
        </w:tc>
      </w:tr>
      <w:tr>
        <w:tblPrEx>
          <w:tblLayout w:type="fixed"/>
          <w:tblCellMar>
            <w:top w:w="0" w:type="dxa"/>
            <w:left w:w="0" w:type="dxa"/>
            <w:bottom w:w="0" w:type="dxa"/>
            <w:right w:w="0" w:type="dxa"/>
          </w:tblCellMar>
        </w:tblPrEx>
        <w:trPr>
          <w:trHeight w:val="4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5</w:t>
            </w:r>
          </w:p>
        </w:tc>
        <w:tc>
          <w:tcPr>
            <w:tcW w:w="171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eastAsia="宋体"/>
                <w:lang w:val="en-US" w:eastAsia="zh-CN"/>
              </w:rPr>
            </w:pPr>
            <w:r>
              <w:rPr>
                <w:rFonts w:hint="eastAsia" w:ascii="宋体" w:hAnsi="宋体" w:eastAsia="宋体" w:cs="宋体"/>
                <w:i w:val="0"/>
                <w:color w:val="000000"/>
                <w:sz w:val="18"/>
                <w:szCs w:val="18"/>
                <w:u w:val="none"/>
                <w:lang w:val="en-US" w:eastAsia="zh-CN"/>
              </w:rPr>
              <w:t>进度计划（满分5分）</w:t>
            </w:r>
          </w:p>
        </w:tc>
        <w:tc>
          <w:tcPr>
            <w:tcW w:w="6263" w:type="dxa"/>
            <w:tcBorders>
              <w:top w:val="single" w:color="000000" w:sz="8" w:space="0"/>
              <w:left w:val="single" w:color="000000" w:sz="8"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①进度节点完备有重点、高效推进、计划超前，得5分；</w:t>
            </w:r>
          </w:p>
          <w:p>
            <w:pPr>
              <w:keepNext w:val="0"/>
              <w:keepLines w:val="0"/>
              <w:widowControl/>
              <w:suppressLineNumbers w:val="0"/>
              <w:jc w:val="both"/>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②进度节点清晰基本涵盖、平稳推进、计划符合要求，得3分；</w:t>
            </w:r>
          </w:p>
          <w:p>
            <w:pPr>
              <w:keepNext w:val="0"/>
              <w:keepLines w:val="0"/>
              <w:widowControl/>
              <w:suppressLineNumbers w:val="0"/>
              <w:jc w:val="both"/>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③进度节点缺失空乏、衔接不畅、计划滞后的，不得分。</w:t>
            </w:r>
          </w:p>
        </w:tc>
        <w:tc>
          <w:tcPr>
            <w:tcW w:w="1380" w:type="dxa"/>
            <w:tcBorders>
              <w:top w:val="single" w:color="000000" w:sz="8" w:space="0"/>
              <w:left w:val="single" w:color="000000" w:sz="4" w:space="0"/>
              <w:bottom w:val="single" w:color="000000" w:sz="8" w:space="0"/>
              <w:right w:val="single" w:color="000000" w:sz="4" w:space="0"/>
            </w:tcBorders>
            <w:shd w:val="clear" w:color="auto" w:fill="FFFF0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b/>
                <w:i w:val="0"/>
                <w:color w:val="FF0000"/>
                <w:kern w:val="0"/>
                <w:sz w:val="18"/>
                <w:szCs w:val="18"/>
                <w:u w:val="none"/>
                <w:lang w:val="en-US" w:eastAsia="zh-CN" w:bidi="ar"/>
              </w:rPr>
            </w:pPr>
            <w:r>
              <w:rPr>
                <w:rFonts w:hint="eastAsia" w:ascii="宋体" w:hAnsi="宋体" w:cs="宋体"/>
                <w:b/>
                <w:i w:val="0"/>
                <w:color w:val="FF0000"/>
                <w:kern w:val="0"/>
                <w:sz w:val="18"/>
                <w:szCs w:val="18"/>
                <w:u w:val="none"/>
                <w:lang w:val="en-US" w:eastAsia="zh-CN" w:bidi="ar"/>
              </w:rPr>
              <w:t>0-5</w:t>
            </w:r>
          </w:p>
        </w:tc>
        <w:tc>
          <w:tcPr>
            <w:tcW w:w="3427" w:type="dxa"/>
            <w:tcBorders>
              <w:top w:val="single" w:color="000000" w:sz="8" w:space="0"/>
              <w:left w:val="single" w:color="000000" w:sz="4" w:space="0"/>
              <w:bottom w:val="single" w:color="000000" w:sz="4" w:space="0"/>
              <w:right w:val="single" w:color="000000" w:sz="8"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（1）进度计划（甘特图）。</w:t>
            </w:r>
          </w:p>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（2）分部分项进度计划明细及项目推进说明</w:t>
            </w:r>
          </w:p>
        </w:tc>
      </w:tr>
      <w:tr>
        <w:tblPrEx>
          <w:tblLayout w:type="fixed"/>
          <w:tblCellMar>
            <w:top w:w="0" w:type="dxa"/>
            <w:left w:w="0" w:type="dxa"/>
            <w:bottom w:w="0" w:type="dxa"/>
            <w:right w:w="0" w:type="dxa"/>
          </w:tblCellMar>
        </w:tblPrEx>
        <w:trPr>
          <w:trHeight w:val="580" w:hRule="atLeast"/>
        </w:trPr>
        <w:tc>
          <w:tcPr>
            <w:tcW w:w="10433" w:type="dxa"/>
            <w:gridSpan w:val="4"/>
            <w:tcBorders>
              <w:top w:val="single" w:color="000000" w:sz="8" w:space="0"/>
              <w:left w:val="single" w:color="000000" w:sz="8" w:space="0"/>
              <w:bottom w:val="single" w:color="000000" w:sz="8"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评分小计（T）（满分</w:t>
            </w:r>
            <w:r>
              <w:rPr>
                <w:rFonts w:hint="eastAsia" w:ascii="宋体" w:hAnsi="宋体" w:cs="宋体"/>
                <w:b/>
                <w:i w:val="0"/>
                <w:color w:val="000000"/>
                <w:kern w:val="0"/>
                <w:sz w:val="21"/>
                <w:szCs w:val="21"/>
                <w:u w:val="none"/>
                <w:lang w:val="en-US" w:eastAsia="zh-CN" w:bidi="ar"/>
              </w:rPr>
              <w:t>30</w:t>
            </w:r>
            <w:r>
              <w:rPr>
                <w:rFonts w:hint="eastAsia" w:ascii="宋体" w:hAnsi="宋体" w:eastAsia="宋体" w:cs="宋体"/>
                <w:b/>
                <w:i w:val="0"/>
                <w:color w:val="000000"/>
                <w:kern w:val="0"/>
                <w:sz w:val="21"/>
                <w:szCs w:val="21"/>
                <w:u w:val="none"/>
                <w:lang w:val="en-US" w:eastAsia="zh-CN" w:bidi="ar"/>
              </w:rPr>
              <w:t>分）</w:t>
            </w:r>
          </w:p>
        </w:tc>
        <w:tc>
          <w:tcPr>
            <w:tcW w:w="3427" w:type="dxa"/>
            <w:tcBorders>
              <w:top w:val="single" w:color="000000" w:sz="8" w:space="0"/>
              <w:left w:val="single" w:color="000000" w:sz="4" w:space="0"/>
              <w:bottom w:val="single" w:color="000000" w:sz="8" w:space="0"/>
              <w:right w:val="single" w:color="000000" w:sz="8" w:space="0"/>
            </w:tcBorders>
            <w:tcMar>
              <w:top w:w="15" w:type="dxa"/>
              <w:left w:w="15" w:type="dxa"/>
              <w:right w:w="15" w:type="dxa"/>
            </w:tcMar>
            <w:vAlign w:val="center"/>
          </w:tcPr>
          <w:p>
            <w:pPr>
              <w:jc w:val="center"/>
              <w:rPr>
                <w:rFonts w:hint="default" w:ascii="Times New Roman" w:hAnsi="Times New Roman" w:eastAsia="等线" w:cs="Times New Roman"/>
                <w:b/>
                <w:i w:val="0"/>
                <w:color w:val="000000"/>
                <w:sz w:val="21"/>
                <w:szCs w:val="21"/>
                <w:u w:val="none"/>
              </w:rPr>
            </w:pPr>
          </w:p>
        </w:tc>
      </w:tr>
    </w:tbl>
    <w:p>
      <w:pPr>
        <w:widowControl/>
        <w:jc w:val="left"/>
        <w:outlineLvl w:val="2"/>
        <w:rPr>
          <w:rFonts w:hint="eastAsia" w:ascii="宋体" w:hAnsi="宋体"/>
          <w:b/>
          <w:bCs/>
          <w:sz w:val="24"/>
          <w:szCs w:val="24"/>
        </w:rPr>
      </w:pPr>
      <w:bookmarkStart w:id="15" w:name="_Toc4292"/>
      <w:bookmarkStart w:id="16" w:name="_Toc14639"/>
      <w:bookmarkStart w:id="17" w:name="_Hlk217420678"/>
    </w:p>
    <w:p>
      <w:pPr>
        <w:widowControl/>
        <w:jc w:val="left"/>
        <w:outlineLvl w:val="2"/>
        <w:rPr>
          <w:rFonts w:hint="eastAsia" w:ascii="宋体" w:hAnsi="宋体"/>
          <w:b/>
          <w:bCs/>
          <w:sz w:val="24"/>
          <w:szCs w:val="24"/>
        </w:rPr>
      </w:pPr>
      <w:r>
        <w:rPr>
          <w:rFonts w:hint="eastAsia" w:ascii="宋体" w:hAnsi="宋体"/>
          <w:b/>
          <w:bCs/>
          <w:sz w:val="24"/>
          <w:szCs w:val="24"/>
        </w:rPr>
        <w:t>表</w:t>
      </w:r>
      <w:r>
        <w:rPr>
          <w:rFonts w:hint="eastAsia" w:ascii="宋体" w:hAnsi="宋体"/>
          <w:b/>
          <w:bCs/>
          <w:sz w:val="24"/>
          <w:szCs w:val="24"/>
          <w:lang w:val="en-US" w:eastAsia="zh-CN"/>
        </w:rPr>
        <w:t>三</w:t>
      </w:r>
      <w:r>
        <w:rPr>
          <w:rFonts w:hint="eastAsia" w:ascii="宋体" w:hAnsi="宋体"/>
          <w:b/>
          <w:bCs/>
          <w:sz w:val="24"/>
          <w:szCs w:val="24"/>
        </w:rPr>
        <w:t>：供应商商务价格评审项目/评分标准</w:t>
      </w:r>
      <w:bookmarkEnd w:id="15"/>
      <w:bookmarkEnd w:id="16"/>
    </w:p>
    <w:bookmarkEnd w:id="17"/>
    <w:tbl>
      <w:tblPr>
        <w:tblStyle w:val="13"/>
        <w:tblW w:w="15255" w:type="dxa"/>
        <w:tblInd w:w="113" w:type="dxa"/>
        <w:tblLayout w:type="fixed"/>
        <w:tblCellMar>
          <w:top w:w="0" w:type="dxa"/>
          <w:left w:w="108" w:type="dxa"/>
          <w:bottom w:w="0" w:type="dxa"/>
          <w:right w:w="108" w:type="dxa"/>
        </w:tblCellMar>
      </w:tblPr>
      <w:tblGrid>
        <w:gridCol w:w="533"/>
        <w:gridCol w:w="1257"/>
        <w:gridCol w:w="2394"/>
        <w:gridCol w:w="1048"/>
        <w:gridCol w:w="5236"/>
        <w:gridCol w:w="2992"/>
        <w:gridCol w:w="1795"/>
      </w:tblGrid>
      <w:tr>
        <w:tblPrEx>
          <w:tblLayout w:type="fixed"/>
          <w:tblCellMar>
            <w:top w:w="0" w:type="dxa"/>
            <w:left w:w="108" w:type="dxa"/>
            <w:bottom w:w="0" w:type="dxa"/>
            <w:right w:w="108" w:type="dxa"/>
          </w:tblCellMar>
        </w:tblPrEx>
        <w:trPr>
          <w:trHeight w:val="545" w:hRule="atLeast"/>
        </w:trPr>
        <w:tc>
          <w:tcPr>
            <w:tcW w:w="533"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bookmarkStart w:id="18" w:name="_Hlk217420785"/>
            <w:r>
              <w:rPr>
                <w:rFonts w:hint="eastAsia" w:ascii="宋体" w:hAnsi="宋体" w:cs="宋体"/>
                <w:b/>
                <w:bCs/>
                <w:color w:val="000000"/>
                <w:kern w:val="0"/>
                <w:sz w:val="18"/>
                <w:szCs w:val="18"/>
              </w:rPr>
              <w:t>序</w:t>
            </w:r>
          </w:p>
        </w:tc>
        <w:tc>
          <w:tcPr>
            <w:tcW w:w="1257"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39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04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必选★/可选▲</w:t>
            </w:r>
          </w:p>
        </w:tc>
        <w:tc>
          <w:tcPr>
            <w:tcW w:w="5236"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FF"/>
                <w:kern w:val="0"/>
                <w:sz w:val="18"/>
                <w:szCs w:val="18"/>
              </w:rPr>
            </w:pPr>
            <w:r>
              <w:rPr>
                <w:rFonts w:hint="eastAsia" w:ascii="宋体" w:hAnsi="宋体" w:cs="宋体"/>
                <w:b/>
                <w:bCs/>
                <w:color w:val="000000"/>
                <w:kern w:val="0"/>
                <w:sz w:val="18"/>
                <w:szCs w:val="18"/>
              </w:rPr>
              <w:t>评审标准</w:t>
            </w:r>
          </w:p>
        </w:tc>
        <w:tc>
          <w:tcPr>
            <w:tcW w:w="2992"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p>
        </w:tc>
        <w:tc>
          <w:tcPr>
            <w:tcW w:w="179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备注</w:t>
            </w:r>
          </w:p>
        </w:tc>
      </w:tr>
      <w:tr>
        <w:tblPrEx>
          <w:tblLayout w:type="fixed"/>
          <w:tblCellMar>
            <w:top w:w="0" w:type="dxa"/>
            <w:left w:w="108" w:type="dxa"/>
            <w:bottom w:w="0" w:type="dxa"/>
            <w:right w:w="108" w:type="dxa"/>
          </w:tblCellMar>
        </w:tblPrEx>
        <w:trPr>
          <w:trHeight w:val="1002" w:hRule="atLeast"/>
        </w:trPr>
        <w:tc>
          <w:tcPr>
            <w:tcW w:w="53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19" w:name="_Hlk216870764"/>
            <w:bookmarkStart w:id="20" w:name="OLE_LINK17" w:colFirst="4" w:colLast="4"/>
            <w:bookmarkStart w:id="21" w:name="OLE_LINK18" w:colFirst="4" w:colLast="4"/>
            <w:r>
              <w:rPr>
                <w:rFonts w:hint="eastAsia" w:ascii="宋体" w:hAnsi="宋体" w:cs="宋体"/>
                <w:b/>
                <w:bCs/>
                <w:color w:val="000000"/>
                <w:kern w:val="0"/>
                <w:sz w:val="18"/>
                <w:szCs w:val="18"/>
              </w:rPr>
              <w:t>5</w:t>
            </w:r>
          </w:p>
        </w:tc>
        <w:tc>
          <w:tcPr>
            <w:tcW w:w="125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配套物料价格/提供设计&amp;服务价格</w:t>
            </w:r>
          </w:p>
        </w:tc>
        <w:tc>
          <w:tcPr>
            <w:tcW w:w="104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b/>
                <w:bCs/>
                <w:color w:val="000000"/>
                <w:kern w:val="0"/>
                <w:sz w:val="18"/>
                <w:szCs w:val="18"/>
              </w:rPr>
              <w:t>★</w:t>
            </w:r>
          </w:p>
        </w:tc>
        <w:tc>
          <w:tcPr>
            <w:tcW w:w="5236" w:type="dxa"/>
            <w:tcBorders>
              <w:top w:val="single" w:color="auto" w:sz="4" w:space="0"/>
              <w:left w:val="nil"/>
              <w:bottom w:val="single" w:color="auto" w:sz="4" w:space="0"/>
              <w:right w:val="single" w:color="auto" w:sz="4" w:space="0"/>
            </w:tcBorders>
            <w:vAlign w:val="center"/>
          </w:tcPr>
          <w:p>
            <w:pPr>
              <w:widowControl/>
              <w:spacing w:line="240" w:lineRule="exact"/>
              <w:jc w:val="left"/>
              <w:rPr>
                <w:rFonts w:hint="eastAsia" w:ascii="宋体" w:hAnsi="宋体" w:cs="宋体"/>
                <w:b/>
                <w:bCs/>
                <w:color w:val="0000FF"/>
                <w:kern w:val="0"/>
                <w:sz w:val="18"/>
                <w:szCs w:val="18"/>
              </w:rPr>
            </w:pPr>
            <w:bookmarkStart w:id="22" w:name="OLE_LINK77"/>
            <w:r>
              <w:rPr>
                <w:rFonts w:hint="eastAsia" w:ascii="宋体" w:hAnsi="宋体" w:cs="宋体"/>
                <w:b/>
                <w:bCs/>
                <w:color w:val="000000"/>
                <w:kern w:val="0"/>
                <w:sz w:val="18"/>
                <w:szCs w:val="18"/>
              </w:rPr>
              <w:t>比值法</w:t>
            </w:r>
            <w:bookmarkEnd w:id="22"/>
            <w:r>
              <w:rPr>
                <w:rFonts w:hint="eastAsia" w:ascii="宋体" w:hAnsi="宋体" w:cs="宋体"/>
                <w:b/>
                <w:bCs/>
                <w:color w:val="000000"/>
                <w:kern w:val="0"/>
                <w:sz w:val="18"/>
                <w:szCs w:val="18"/>
              </w:rPr>
              <w:t>：</w:t>
            </w:r>
            <w:r>
              <w:rPr>
                <w:rFonts w:hint="eastAsia" w:ascii="宋体" w:hAnsi="宋体" w:cs="宋体"/>
                <w:b/>
                <w:bCs/>
                <w:color w:val="0000FF"/>
                <w:kern w:val="0"/>
                <w:sz w:val="18"/>
                <w:szCs w:val="18"/>
              </w:rPr>
              <w:t>满足招标文件要求且投标价格最低的投标报价作为评标基准价，其价格分为满分；投标报价得分=（评标基准价/投标报价）*价格满分</w:t>
            </w:r>
          </w:p>
        </w:tc>
        <w:tc>
          <w:tcPr>
            <w:tcW w:w="299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tc>
        <w:tc>
          <w:tcPr>
            <w:tcW w:w="179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满足所有技术要求</w:t>
            </w:r>
          </w:p>
        </w:tc>
      </w:tr>
      <w:bookmarkEnd w:id="18"/>
      <w:bookmarkEnd w:id="19"/>
      <w:bookmarkEnd w:id="20"/>
      <w:bookmarkEnd w:id="21"/>
    </w:tbl>
    <w:p>
      <w:pPr>
        <w:rPr>
          <w:rFonts w:hint="eastAsia" w:ascii="等线" w:hAnsi="等线" w:eastAsia="等线"/>
          <w:b/>
          <w:bCs/>
          <w:sz w:val="18"/>
          <w:szCs w:val="18"/>
        </w:rPr>
      </w:pPr>
    </w:p>
    <w:sectPr>
      <w:pgSz w:w="16838" w:h="11906" w:orient="landscape"/>
      <w:pgMar w:top="1134" w:right="1134" w:bottom="851"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EnclosedCircle"/>
      <w:lvlText w:val="%3"/>
      <w:lvlJc w:val="left"/>
      <w:pPr>
        <w:ind w:left="1240" w:hanging="36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690C"/>
    <w:rsid w:val="0006225D"/>
    <w:rsid w:val="00086BF8"/>
    <w:rsid w:val="0009445B"/>
    <w:rsid w:val="000A2ABB"/>
    <w:rsid w:val="000B0B65"/>
    <w:rsid w:val="000B2A32"/>
    <w:rsid w:val="000C3DB0"/>
    <w:rsid w:val="000D3FB3"/>
    <w:rsid w:val="000E6041"/>
    <w:rsid w:val="000F4A51"/>
    <w:rsid w:val="00105477"/>
    <w:rsid w:val="001132DF"/>
    <w:rsid w:val="00142E42"/>
    <w:rsid w:val="00143264"/>
    <w:rsid w:val="00161C70"/>
    <w:rsid w:val="00172A27"/>
    <w:rsid w:val="00196C64"/>
    <w:rsid w:val="001C34FE"/>
    <w:rsid w:val="001D336D"/>
    <w:rsid w:val="001D6087"/>
    <w:rsid w:val="001E00C0"/>
    <w:rsid w:val="00200525"/>
    <w:rsid w:val="00214B8E"/>
    <w:rsid w:val="00223A26"/>
    <w:rsid w:val="00223B7B"/>
    <w:rsid w:val="00230B74"/>
    <w:rsid w:val="002442EE"/>
    <w:rsid w:val="00275DE6"/>
    <w:rsid w:val="002C4FA0"/>
    <w:rsid w:val="002F4E44"/>
    <w:rsid w:val="003148B5"/>
    <w:rsid w:val="00321756"/>
    <w:rsid w:val="003536BD"/>
    <w:rsid w:val="00371A0A"/>
    <w:rsid w:val="00382ADE"/>
    <w:rsid w:val="003855FD"/>
    <w:rsid w:val="00385C1C"/>
    <w:rsid w:val="00393AF6"/>
    <w:rsid w:val="0042263E"/>
    <w:rsid w:val="004369AD"/>
    <w:rsid w:val="004622C9"/>
    <w:rsid w:val="004647BB"/>
    <w:rsid w:val="00464AFF"/>
    <w:rsid w:val="004A5A99"/>
    <w:rsid w:val="004D34D3"/>
    <w:rsid w:val="0051567C"/>
    <w:rsid w:val="005529F3"/>
    <w:rsid w:val="00560705"/>
    <w:rsid w:val="005A3146"/>
    <w:rsid w:val="005A590D"/>
    <w:rsid w:val="005E5FA8"/>
    <w:rsid w:val="005F54F8"/>
    <w:rsid w:val="00617A00"/>
    <w:rsid w:val="00654F9A"/>
    <w:rsid w:val="00654FEB"/>
    <w:rsid w:val="006943B1"/>
    <w:rsid w:val="006B6A7B"/>
    <w:rsid w:val="006F7293"/>
    <w:rsid w:val="00703983"/>
    <w:rsid w:val="00723765"/>
    <w:rsid w:val="007242A9"/>
    <w:rsid w:val="00724CE0"/>
    <w:rsid w:val="007344EA"/>
    <w:rsid w:val="00770154"/>
    <w:rsid w:val="00773E90"/>
    <w:rsid w:val="007A1BA8"/>
    <w:rsid w:val="007A32BB"/>
    <w:rsid w:val="007A7EBB"/>
    <w:rsid w:val="007B5EAE"/>
    <w:rsid w:val="007E72ED"/>
    <w:rsid w:val="007F7DC7"/>
    <w:rsid w:val="00837E10"/>
    <w:rsid w:val="008450B7"/>
    <w:rsid w:val="00852DB8"/>
    <w:rsid w:val="00862DA9"/>
    <w:rsid w:val="00871A69"/>
    <w:rsid w:val="009051D8"/>
    <w:rsid w:val="00935728"/>
    <w:rsid w:val="0098516E"/>
    <w:rsid w:val="00985317"/>
    <w:rsid w:val="009A5EB9"/>
    <w:rsid w:val="009B0972"/>
    <w:rsid w:val="009B742A"/>
    <w:rsid w:val="009C48CE"/>
    <w:rsid w:val="009F1404"/>
    <w:rsid w:val="00A23D2B"/>
    <w:rsid w:val="00A646A2"/>
    <w:rsid w:val="00A67251"/>
    <w:rsid w:val="00A953E3"/>
    <w:rsid w:val="00AB2F20"/>
    <w:rsid w:val="00AD7822"/>
    <w:rsid w:val="00B06412"/>
    <w:rsid w:val="00B55276"/>
    <w:rsid w:val="00B737BA"/>
    <w:rsid w:val="00BA3827"/>
    <w:rsid w:val="00BB45F0"/>
    <w:rsid w:val="00BE1AA5"/>
    <w:rsid w:val="00BF6E8D"/>
    <w:rsid w:val="00C17EF4"/>
    <w:rsid w:val="00C26D29"/>
    <w:rsid w:val="00C3109C"/>
    <w:rsid w:val="00C31999"/>
    <w:rsid w:val="00C3537D"/>
    <w:rsid w:val="00C41956"/>
    <w:rsid w:val="00CA2B21"/>
    <w:rsid w:val="00CB25DB"/>
    <w:rsid w:val="00CB5CB7"/>
    <w:rsid w:val="00CC409F"/>
    <w:rsid w:val="00CE561D"/>
    <w:rsid w:val="00CF7EB6"/>
    <w:rsid w:val="00D02256"/>
    <w:rsid w:val="00D1191E"/>
    <w:rsid w:val="00D36837"/>
    <w:rsid w:val="00D43C43"/>
    <w:rsid w:val="00D44D39"/>
    <w:rsid w:val="00D52215"/>
    <w:rsid w:val="00D54667"/>
    <w:rsid w:val="00D55399"/>
    <w:rsid w:val="00D60116"/>
    <w:rsid w:val="00D973F5"/>
    <w:rsid w:val="00DB2073"/>
    <w:rsid w:val="00DD2DD0"/>
    <w:rsid w:val="00DE75AF"/>
    <w:rsid w:val="00E425AA"/>
    <w:rsid w:val="00E44D16"/>
    <w:rsid w:val="00E91FEB"/>
    <w:rsid w:val="00EA09AD"/>
    <w:rsid w:val="00EA4FE3"/>
    <w:rsid w:val="00EB1A34"/>
    <w:rsid w:val="00EE06F4"/>
    <w:rsid w:val="00EE3E81"/>
    <w:rsid w:val="00F01F45"/>
    <w:rsid w:val="00F26B3B"/>
    <w:rsid w:val="00F66A1B"/>
    <w:rsid w:val="00F81518"/>
    <w:rsid w:val="00F8763E"/>
    <w:rsid w:val="00FA6120"/>
    <w:rsid w:val="00FB1B5D"/>
    <w:rsid w:val="00FB1D21"/>
    <w:rsid w:val="00FC0368"/>
    <w:rsid w:val="01AC70AC"/>
    <w:rsid w:val="022551BE"/>
    <w:rsid w:val="02326562"/>
    <w:rsid w:val="02BF0A2C"/>
    <w:rsid w:val="07565A6F"/>
    <w:rsid w:val="07B00BB4"/>
    <w:rsid w:val="08AE3344"/>
    <w:rsid w:val="09E47CAB"/>
    <w:rsid w:val="09FD7DF8"/>
    <w:rsid w:val="0B5B2ECB"/>
    <w:rsid w:val="0C1A4673"/>
    <w:rsid w:val="0C9003FE"/>
    <w:rsid w:val="104E5063"/>
    <w:rsid w:val="11A92FC0"/>
    <w:rsid w:val="12610085"/>
    <w:rsid w:val="13BF43CD"/>
    <w:rsid w:val="15971967"/>
    <w:rsid w:val="197079E3"/>
    <w:rsid w:val="1AF35E37"/>
    <w:rsid w:val="1D5F1ECA"/>
    <w:rsid w:val="1D86087A"/>
    <w:rsid w:val="1E630CB7"/>
    <w:rsid w:val="1E9F1A13"/>
    <w:rsid w:val="211C4C2F"/>
    <w:rsid w:val="21BD2FBA"/>
    <w:rsid w:val="23A40B43"/>
    <w:rsid w:val="25024259"/>
    <w:rsid w:val="28D64C70"/>
    <w:rsid w:val="2A9A6A3F"/>
    <w:rsid w:val="2B482B8A"/>
    <w:rsid w:val="2C9C69E0"/>
    <w:rsid w:val="2CD054B9"/>
    <w:rsid w:val="2CE360C1"/>
    <w:rsid w:val="2D506C87"/>
    <w:rsid w:val="2DDA3415"/>
    <w:rsid w:val="2E997DD0"/>
    <w:rsid w:val="2F522993"/>
    <w:rsid w:val="2FC72F70"/>
    <w:rsid w:val="308560FA"/>
    <w:rsid w:val="30A90A4D"/>
    <w:rsid w:val="33484D17"/>
    <w:rsid w:val="368D6328"/>
    <w:rsid w:val="387C0DE4"/>
    <w:rsid w:val="39012A9D"/>
    <w:rsid w:val="39E54850"/>
    <w:rsid w:val="3C760D74"/>
    <w:rsid w:val="3E806C83"/>
    <w:rsid w:val="3EAA184F"/>
    <w:rsid w:val="3EC05D3F"/>
    <w:rsid w:val="3F204650"/>
    <w:rsid w:val="40394773"/>
    <w:rsid w:val="41443EF5"/>
    <w:rsid w:val="423742F8"/>
    <w:rsid w:val="443C0CEB"/>
    <w:rsid w:val="445D4B94"/>
    <w:rsid w:val="44C017F9"/>
    <w:rsid w:val="46493152"/>
    <w:rsid w:val="464A4625"/>
    <w:rsid w:val="46C04725"/>
    <w:rsid w:val="471C5B80"/>
    <w:rsid w:val="47AE0224"/>
    <w:rsid w:val="482960B1"/>
    <w:rsid w:val="482B13C9"/>
    <w:rsid w:val="489E5952"/>
    <w:rsid w:val="4A160BC3"/>
    <w:rsid w:val="4B374F79"/>
    <w:rsid w:val="4E66785A"/>
    <w:rsid w:val="4EEB3EE1"/>
    <w:rsid w:val="4FAC1033"/>
    <w:rsid w:val="4FDE51CC"/>
    <w:rsid w:val="50B774CE"/>
    <w:rsid w:val="50BC0FCD"/>
    <w:rsid w:val="511027B9"/>
    <w:rsid w:val="516A5F58"/>
    <w:rsid w:val="51F2199E"/>
    <w:rsid w:val="53856DF1"/>
    <w:rsid w:val="53CB7FF7"/>
    <w:rsid w:val="540C66C2"/>
    <w:rsid w:val="54D5610B"/>
    <w:rsid w:val="568C14BF"/>
    <w:rsid w:val="5719647B"/>
    <w:rsid w:val="57A15DF2"/>
    <w:rsid w:val="59032E57"/>
    <w:rsid w:val="598044C0"/>
    <w:rsid w:val="59E06ABA"/>
    <w:rsid w:val="5B606120"/>
    <w:rsid w:val="5BAC7A82"/>
    <w:rsid w:val="5CEE00FA"/>
    <w:rsid w:val="5D0F6A92"/>
    <w:rsid w:val="5EF7293C"/>
    <w:rsid w:val="5F593163"/>
    <w:rsid w:val="61C175A0"/>
    <w:rsid w:val="631C5792"/>
    <w:rsid w:val="64051D01"/>
    <w:rsid w:val="643C6F6D"/>
    <w:rsid w:val="646654BA"/>
    <w:rsid w:val="64981F43"/>
    <w:rsid w:val="66CA10FA"/>
    <w:rsid w:val="67201489"/>
    <w:rsid w:val="681475F9"/>
    <w:rsid w:val="68203265"/>
    <w:rsid w:val="686C65F8"/>
    <w:rsid w:val="68E7461C"/>
    <w:rsid w:val="6990000F"/>
    <w:rsid w:val="69DC5C4C"/>
    <w:rsid w:val="6A575048"/>
    <w:rsid w:val="6A5C1D5A"/>
    <w:rsid w:val="6B4B592E"/>
    <w:rsid w:val="6C3300A1"/>
    <w:rsid w:val="6D743A4B"/>
    <w:rsid w:val="6DAA4575"/>
    <w:rsid w:val="6E27050B"/>
    <w:rsid w:val="6E4A67E5"/>
    <w:rsid w:val="6F151264"/>
    <w:rsid w:val="70BF30CF"/>
    <w:rsid w:val="72D9168E"/>
    <w:rsid w:val="73B14F95"/>
    <w:rsid w:val="73E940A9"/>
    <w:rsid w:val="741905C6"/>
    <w:rsid w:val="742C27ED"/>
    <w:rsid w:val="767B1D57"/>
    <w:rsid w:val="781750D2"/>
    <w:rsid w:val="792C4921"/>
    <w:rsid w:val="7A7A4704"/>
    <w:rsid w:val="7AF76F39"/>
    <w:rsid w:val="7C3D3F02"/>
    <w:rsid w:val="7CE9453C"/>
    <w:rsid w:val="7E5A048C"/>
    <w:rsid w:val="7F8B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3"/>
    <w:qFormat/>
    <w:uiPriority w:val="0"/>
    <w:rPr>
      <w:b/>
      <w:bCs/>
    </w:rPr>
  </w:style>
  <w:style w:type="paragraph" w:styleId="4">
    <w:name w:val="annotation text"/>
    <w:basedOn w:val="1"/>
    <w:link w:val="22"/>
    <w:qFormat/>
    <w:uiPriority w:val="0"/>
    <w:pPr>
      <w:jc w:val="left"/>
    </w:pPr>
  </w:style>
  <w:style w:type="paragraph" w:styleId="5">
    <w:name w:val="Body Text"/>
    <w:basedOn w:val="1"/>
    <w:unhideWhenUsed/>
    <w:qFormat/>
    <w:uiPriority w:val="99"/>
    <w:pPr>
      <w:spacing w:line="380" w:lineRule="exact"/>
    </w:pPr>
    <w:rPr>
      <w:rFonts w:ascii="Times New Roman" w:hAnsi="Times New Roman"/>
      <w:sz w:val="24"/>
    </w:rPr>
  </w:style>
  <w:style w:type="paragraph" w:styleId="6">
    <w:name w:val="Balloon Text"/>
    <w:basedOn w:val="1"/>
    <w:link w:val="27"/>
    <w:qFormat/>
    <w:uiPriority w:val="0"/>
    <w:rPr>
      <w:sz w:val="18"/>
      <w:szCs w:val="18"/>
    </w:rPr>
  </w:style>
  <w:style w:type="paragraph" w:styleId="7">
    <w:name w:val="footer"/>
    <w:basedOn w:val="1"/>
    <w:link w:val="25"/>
    <w:qFormat/>
    <w:uiPriority w:val="0"/>
    <w:pPr>
      <w:tabs>
        <w:tab w:val="center" w:pos="4153"/>
        <w:tab w:val="right" w:pos="8306"/>
      </w:tabs>
      <w:snapToGrid w:val="0"/>
      <w:jc w:val="left"/>
    </w:pPr>
    <w:rPr>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5">
    <w:name w:val="List Paragraph"/>
    <w:basedOn w:val="1"/>
    <w:qFormat/>
    <w:uiPriority w:val="34"/>
    <w:pPr>
      <w:ind w:firstLine="420" w:firstLineChars="200"/>
    </w:pPr>
    <w:rPr>
      <w:rFonts w:ascii="Times New Roman" w:hAnsi="Times New Roman"/>
      <w:sz w:val="24"/>
      <w:szCs w:val="24"/>
    </w:rPr>
  </w:style>
  <w:style w:type="character" w:customStyle="1" w:styleId="16">
    <w:name w:val="font71"/>
    <w:basedOn w:val="10"/>
    <w:qFormat/>
    <w:uiPriority w:val="0"/>
    <w:rPr>
      <w:rFonts w:hint="eastAsia" w:ascii="宋体" w:hAnsi="宋体" w:eastAsia="宋体" w:cs="宋体"/>
      <w:color w:val="000000"/>
      <w:sz w:val="20"/>
      <w:szCs w:val="20"/>
      <w:u w:val="none"/>
    </w:rPr>
  </w:style>
  <w:style w:type="character" w:customStyle="1" w:styleId="17">
    <w:name w:val="font101"/>
    <w:basedOn w:val="10"/>
    <w:qFormat/>
    <w:uiPriority w:val="0"/>
    <w:rPr>
      <w:rFonts w:hint="eastAsia" w:ascii="宋体" w:hAnsi="宋体" w:eastAsia="宋体" w:cs="宋体"/>
      <w:color w:val="auto"/>
      <w:sz w:val="20"/>
      <w:szCs w:val="20"/>
      <w:u w:val="none"/>
    </w:rPr>
  </w:style>
  <w:style w:type="character" w:customStyle="1" w:styleId="18">
    <w:name w:val="font61"/>
    <w:basedOn w:val="10"/>
    <w:qFormat/>
    <w:uiPriority w:val="0"/>
    <w:rPr>
      <w:rFonts w:hint="eastAsia" w:ascii="宋体" w:hAnsi="宋体" w:eastAsia="宋体" w:cs="宋体"/>
      <w:color w:val="000000"/>
      <w:sz w:val="20"/>
      <w:szCs w:val="20"/>
      <w:u w:val="none"/>
    </w:rPr>
  </w:style>
  <w:style w:type="character" w:customStyle="1" w:styleId="19">
    <w:name w:val="font81"/>
    <w:basedOn w:val="10"/>
    <w:qFormat/>
    <w:uiPriority w:val="0"/>
    <w:rPr>
      <w:rFonts w:hint="eastAsia" w:ascii="宋体" w:hAnsi="宋体" w:eastAsia="宋体" w:cs="宋体"/>
      <w:b/>
      <w:color w:val="1F497D"/>
      <w:sz w:val="20"/>
      <w:szCs w:val="20"/>
      <w:u w:val="none"/>
    </w:rPr>
  </w:style>
  <w:style w:type="character" w:customStyle="1" w:styleId="20">
    <w:name w:val="font91"/>
    <w:basedOn w:val="10"/>
    <w:qFormat/>
    <w:uiPriority w:val="0"/>
    <w:rPr>
      <w:rFonts w:hint="eastAsia" w:ascii="宋体" w:hAnsi="宋体" w:eastAsia="宋体" w:cs="宋体"/>
      <w:b/>
      <w:color w:val="FF0000"/>
      <w:sz w:val="20"/>
      <w:szCs w:val="20"/>
      <w:u w:val="none"/>
    </w:rPr>
  </w:style>
  <w:style w:type="character" w:customStyle="1" w:styleId="21">
    <w:name w:val="font51"/>
    <w:basedOn w:val="10"/>
    <w:qFormat/>
    <w:uiPriority w:val="0"/>
    <w:rPr>
      <w:rFonts w:hint="eastAsia" w:ascii="宋体" w:hAnsi="宋体" w:eastAsia="宋体" w:cs="宋体"/>
      <w:color w:val="000000"/>
      <w:sz w:val="20"/>
      <w:szCs w:val="20"/>
      <w:u w:val="none"/>
    </w:rPr>
  </w:style>
  <w:style w:type="character" w:customStyle="1" w:styleId="22">
    <w:name w:val="批注文字 字符"/>
    <w:basedOn w:val="10"/>
    <w:link w:val="4"/>
    <w:qFormat/>
    <w:uiPriority w:val="0"/>
    <w:rPr>
      <w:rFonts w:ascii="Calibri" w:hAnsi="Calibri"/>
      <w:kern w:val="2"/>
      <w:sz w:val="21"/>
      <w:szCs w:val="22"/>
    </w:rPr>
  </w:style>
  <w:style w:type="character" w:customStyle="1" w:styleId="23">
    <w:name w:val="批注主题 字符"/>
    <w:basedOn w:val="22"/>
    <w:link w:val="3"/>
    <w:qFormat/>
    <w:uiPriority w:val="0"/>
    <w:rPr>
      <w:rFonts w:ascii="Calibri" w:hAnsi="Calibri"/>
      <w:b/>
      <w:bCs/>
      <w:kern w:val="2"/>
      <w:sz w:val="21"/>
      <w:szCs w:val="22"/>
    </w:rPr>
  </w:style>
  <w:style w:type="character" w:customStyle="1" w:styleId="24">
    <w:name w:val="页眉 字符"/>
    <w:basedOn w:val="10"/>
    <w:link w:val="8"/>
    <w:qFormat/>
    <w:uiPriority w:val="0"/>
    <w:rPr>
      <w:rFonts w:ascii="Calibri" w:hAnsi="Calibri"/>
      <w:kern w:val="2"/>
      <w:sz w:val="18"/>
      <w:szCs w:val="18"/>
    </w:rPr>
  </w:style>
  <w:style w:type="character" w:customStyle="1" w:styleId="25">
    <w:name w:val="页脚 字符"/>
    <w:basedOn w:val="10"/>
    <w:link w:val="7"/>
    <w:qFormat/>
    <w:uiPriority w:val="0"/>
    <w:rPr>
      <w:rFonts w:ascii="Calibri" w:hAnsi="Calibri"/>
      <w:kern w:val="2"/>
      <w:sz w:val="18"/>
      <w:szCs w:val="18"/>
    </w:rPr>
  </w:style>
  <w:style w:type="character" w:customStyle="1" w:styleId="26">
    <w:name w:val="Unresolved Mention"/>
    <w:basedOn w:val="10"/>
    <w:semiHidden/>
    <w:unhideWhenUsed/>
    <w:qFormat/>
    <w:uiPriority w:val="99"/>
    <w:rPr>
      <w:color w:val="605E5C"/>
      <w:shd w:val="clear" w:color="auto" w:fill="E1DFDD"/>
    </w:rPr>
  </w:style>
  <w:style w:type="character" w:customStyle="1" w:styleId="27">
    <w:name w:val="批注框文本 字符"/>
    <w:basedOn w:val="10"/>
    <w:link w:val="6"/>
    <w:qFormat/>
    <w:uiPriority w:val="0"/>
    <w:rPr>
      <w:rFonts w:ascii="Calibri" w:hAnsi="Calibri"/>
      <w:kern w:val="2"/>
      <w:sz w:val="18"/>
      <w:szCs w:val="18"/>
    </w:rPr>
  </w:style>
  <w:style w:type="paragraph" w:customStyle="1" w:styleId="28">
    <w:name w:val="_Style 26"/>
    <w:basedOn w:val="1"/>
    <w:next w:val="15"/>
    <w:qFormat/>
    <w:uiPriority w:val="34"/>
    <w:pPr>
      <w:ind w:firstLine="420" w:firstLineChars="200"/>
    </w:pPr>
    <w:rPr>
      <w:rFonts w:ascii="等线" w:hAnsi="等线" w:eastAsia="等线"/>
    </w:rPr>
  </w:style>
  <w:style w:type="character" w:customStyle="1" w:styleId="29">
    <w:name w:val="font41"/>
    <w:basedOn w:val="10"/>
    <w:qFormat/>
    <w:uiPriority w:val="0"/>
    <w:rPr>
      <w:rFonts w:hint="eastAsia" w:ascii="宋体" w:hAnsi="宋体" w:eastAsia="宋体" w:cs="宋体"/>
      <w:color w:val="000000"/>
      <w:sz w:val="20"/>
      <w:szCs w:val="20"/>
      <w:u w:val="none"/>
    </w:rPr>
  </w:style>
  <w:style w:type="character" w:customStyle="1" w:styleId="30">
    <w:name w:val="font01"/>
    <w:basedOn w:val="10"/>
    <w:qFormat/>
    <w:uiPriority w:val="0"/>
    <w:rPr>
      <w:rFonts w:hint="eastAsia" w:ascii="宋体" w:hAnsi="宋体" w:eastAsia="宋体" w:cs="宋体"/>
      <w:b/>
      <w:color w:val="FF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3341</Words>
  <Characters>3470</Characters>
  <Lines>3</Lines>
  <Paragraphs>9</Paragraphs>
  <TotalTime>1</TotalTime>
  <ScaleCrop>false</ScaleCrop>
  <LinksUpToDate>false</LinksUpToDate>
  <CharactersWithSpaces>3476</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2025-02-25T07:13:00Z</dcterms:created>
  <dc:creator>chenyaohui</dc:creator>
  <cp:lastModifiedBy>TR</cp:lastModifiedBy>
  <cp:lastPrinted>2026-05-13T08:20:00Z</cp:lastPrinted>
  <dcterms:modified xsi:type="dcterms:W3CDTF">2026-07-23T07:41:16Z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ICV">
    <vt:lpwstr>F2CAD51B52C84D6AA736B3B4E2E69C55_13</vt:lpwstr>
  </property>
</Properties>
</file>